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7A2BD" w14:textId="4781CDE3" w:rsidR="009B2133" w:rsidRPr="004B3610" w:rsidRDefault="009B2133" w:rsidP="009B2133">
      <w:pPr>
        <w:pStyle w:val="CH"/>
        <w:rPr>
          <w:lang w:val="en-DE"/>
        </w:rPr>
      </w:pPr>
      <w:bookmarkStart w:id="0" w:name="historyclause"/>
      <w:r w:rsidRPr="000F5901">
        <w:rPr>
          <w:lang w:val="en-US"/>
        </w:rPr>
        <w:t>3GPP RAN WG4 Meeting #10</w:t>
      </w:r>
      <w:r>
        <w:rPr>
          <w:lang w:val="en-US"/>
        </w:rPr>
        <w:t>4-</w:t>
      </w:r>
      <w:r w:rsidRPr="000F5901">
        <w:rPr>
          <w:lang w:val="en-US"/>
        </w:rPr>
        <w:t>e</w:t>
      </w:r>
      <w:r w:rsidRPr="000F5901">
        <w:rPr>
          <w:lang w:val="en-US"/>
        </w:rPr>
        <w:tab/>
      </w:r>
      <w:r w:rsidRPr="000F5901">
        <w:rPr>
          <w:lang w:val="en-US"/>
        </w:rPr>
        <w:tab/>
      </w:r>
      <w:r w:rsidRPr="009B2133">
        <w:rPr>
          <w:lang w:val="en-US"/>
        </w:rPr>
        <w:t>R4-2212369</w:t>
      </w:r>
    </w:p>
    <w:p w14:paraId="50DC9730" w14:textId="7D3D2F14" w:rsidR="00D309CC" w:rsidRPr="009B2133" w:rsidRDefault="00000000" w:rsidP="009B2133">
      <w:pPr>
        <w:pStyle w:val="CRCoverPage"/>
        <w:outlineLvl w:val="0"/>
        <w:rPr>
          <w:b/>
          <w:noProof/>
          <w:sz w:val="24"/>
        </w:rPr>
      </w:pPr>
      <w:fldSimple w:instr=" DOCPROPERTY  Location  \* MERGEFORMAT ">
        <w:r w:rsidR="009B2133" w:rsidRPr="00BA51D9">
          <w:rPr>
            <w:b/>
            <w:noProof/>
            <w:sz w:val="24"/>
          </w:rPr>
          <w:t>Online</w:t>
        </w:r>
      </w:fldSimple>
      <w:r w:rsidR="009B2133">
        <w:rPr>
          <w:b/>
          <w:noProof/>
          <w:sz w:val="24"/>
        </w:rPr>
        <w:t xml:space="preserve">, </w:t>
      </w:r>
      <w:fldSimple w:instr=" DOCPROPERTY  Country  \* MERGEFORMAT "/>
      <w:r w:rsidR="009B2133">
        <w:rPr>
          <w:b/>
          <w:noProof/>
          <w:sz w:val="24"/>
        </w:rPr>
        <w:t xml:space="preserve">, </w:t>
      </w:r>
      <w:fldSimple w:instr=" DOCPROPERTY  StartDate  \* MERGEFORMAT ">
        <w:r w:rsidR="009B2133" w:rsidRPr="00BA51D9">
          <w:rPr>
            <w:b/>
            <w:noProof/>
            <w:sz w:val="24"/>
          </w:rPr>
          <w:t>15th Aug 2022</w:t>
        </w:r>
      </w:fldSimple>
      <w:r w:rsidR="009B2133">
        <w:rPr>
          <w:b/>
          <w:noProof/>
          <w:sz w:val="24"/>
        </w:rPr>
        <w:t xml:space="preserve"> - </w:t>
      </w:r>
      <w:fldSimple w:instr=" DOCPROPERTY  EndDate  \* MERGEFORMAT ">
        <w:r w:rsidR="009B2133" w:rsidRPr="00BA51D9">
          <w:rPr>
            <w:b/>
            <w:noProof/>
            <w:sz w:val="24"/>
          </w:rPr>
          <w:t>26th Aug 2022</w:t>
        </w:r>
      </w:fldSimple>
      <w:r w:rsidR="009B2133" w:rsidRPr="000F5901">
        <w:rPr>
          <w:lang w:val="en-US"/>
        </w:rPr>
        <w:tab/>
      </w:r>
      <w:r w:rsidR="00D46431" w:rsidRPr="000F5901">
        <w:rPr>
          <w:lang w:val="en-US"/>
        </w:rPr>
        <w:tab/>
      </w:r>
    </w:p>
    <w:p w14:paraId="39A0EE25" w14:textId="77777777" w:rsidR="00D309CC" w:rsidRPr="000F5901" w:rsidRDefault="00D309CC" w:rsidP="00D309CC">
      <w:pPr>
        <w:tabs>
          <w:tab w:val="left" w:pos="2160"/>
        </w:tabs>
        <w:rPr>
          <w:rFonts w:ascii="Arial" w:hAnsi="Arial" w:cs="Arial"/>
          <w:b/>
          <w:lang w:val="en-US"/>
        </w:rPr>
      </w:pPr>
    </w:p>
    <w:p w14:paraId="6DDCE159" w14:textId="2F365C2F" w:rsidR="00D309CC" w:rsidRPr="000F5901" w:rsidRDefault="00D309CC" w:rsidP="00D309CC">
      <w:pPr>
        <w:pStyle w:val="CH"/>
        <w:rPr>
          <w:b w:val="0"/>
          <w:lang w:val="en-US"/>
        </w:rPr>
      </w:pPr>
      <w:r w:rsidRPr="000F5901">
        <w:rPr>
          <w:lang w:val="en-US"/>
        </w:rPr>
        <w:t>Agenda item:</w:t>
      </w:r>
      <w:r w:rsidRPr="000F5901">
        <w:rPr>
          <w:lang w:val="en-US"/>
        </w:rPr>
        <w:tab/>
      </w:r>
      <w:r w:rsidR="001B7048">
        <w:rPr>
          <w:lang w:val="en-US"/>
        </w:rPr>
        <w:t>4.1.1</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2D591633" w:rsidR="00D309CC" w:rsidRPr="00C61D68" w:rsidRDefault="00D309CC" w:rsidP="00D309CC">
      <w:pPr>
        <w:pStyle w:val="CH"/>
        <w:rPr>
          <w:lang w:val="en-DE"/>
        </w:rPr>
      </w:pPr>
      <w:r w:rsidRPr="000F5901">
        <w:rPr>
          <w:lang w:val="en-US"/>
        </w:rPr>
        <w:t>Title:</w:t>
      </w:r>
      <w:r w:rsidRPr="000F5901">
        <w:rPr>
          <w:lang w:val="en-US"/>
        </w:rPr>
        <w:tab/>
      </w:r>
      <w:r w:rsidR="00982EE9">
        <w:rPr>
          <w:lang w:val="en-US"/>
        </w:rPr>
        <w:t xml:space="preserve">Discussion on </w:t>
      </w:r>
      <w:r w:rsidR="0085228F">
        <w:rPr>
          <w:lang w:val="en-US"/>
        </w:rPr>
        <w:t xml:space="preserve">40MHz </w:t>
      </w:r>
      <w:proofErr w:type="spellStart"/>
      <w:r w:rsidR="0085228F">
        <w:rPr>
          <w:lang w:val="en-US"/>
        </w:rPr>
        <w:t>gNB</w:t>
      </w:r>
      <w:proofErr w:type="spellEnd"/>
      <w:r w:rsidR="0085228F">
        <w:rPr>
          <w:lang w:val="en-US"/>
        </w:rPr>
        <w:t xml:space="preserve"> for band n28</w:t>
      </w:r>
    </w:p>
    <w:p w14:paraId="6C6D1281" w14:textId="5FA4B508"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061E71">
        <w:rPr>
          <w:lang w:val="en-US"/>
        </w:rPr>
        <w:t>6</w:t>
      </w:r>
    </w:p>
    <w:p w14:paraId="2E4E044D" w14:textId="68C79EB6" w:rsidR="00D309CC" w:rsidRPr="000F5901" w:rsidRDefault="00D309CC" w:rsidP="00D309CC">
      <w:pPr>
        <w:pStyle w:val="CH"/>
        <w:rPr>
          <w:lang w:val="en-US"/>
        </w:rPr>
      </w:pPr>
      <w:r w:rsidRPr="000F5901">
        <w:rPr>
          <w:lang w:val="en-US"/>
        </w:rPr>
        <w:t>Document for:</w:t>
      </w:r>
      <w:r w:rsidRPr="000F5901">
        <w:rPr>
          <w:lang w:val="en-US"/>
        </w:rPr>
        <w:tab/>
      </w:r>
      <w:r w:rsidR="00D7385C" w:rsidRPr="000F5901">
        <w:rPr>
          <w:lang w:val="en-US"/>
        </w:rPr>
        <w:t>Decision</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63438027" w:rsidR="00B93956" w:rsidRPr="00B93956" w:rsidRDefault="00353AD5" w:rsidP="00B93956">
      <w:pPr>
        <w:jc w:val="both"/>
        <w:rPr>
          <w:lang w:val="en-US"/>
        </w:rPr>
      </w:pPr>
      <w:r>
        <w:rPr>
          <w:lang w:val="en-US"/>
        </w:rPr>
        <w:t xml:space="preserve">During RAN4#103-e it was discussed on how to introduce </w:t>
      </w:r>
      <w:proofErr w:type="spellStart"/>
      <w:r>
        <w:rPr>
          <w:lang w:val="en-US"/>
        </w:rPr>
        <w:t>gNB</w:t>
      </w:r>
      <w:proofErr w:type="spellEnd"/>
      <w:r>
        <w:rPr>
          <w:lang w:val="en-US"/>
        </w:rPr>
        <w:t xml:space="preserve"> using 40MHz CBW for band n28 as the </w:t>
      </w:r>
      <w:r>
        <w:rPr>
          <w:rFonts w:hint="eastAsia"/>
          <w:lang w:val="en-US" w:eastAsia="zh-CN"/>
        </w:rPr>
        <w:t>available spectrum is 703-743MHz for UL and 758-798MHz for DL</w:t>
      </w:r>
      <w:r>
        <w:rPr>
          <w:lang w:val="en-US" w:eastAsia="zh-CN"/>
        </w:rPr>
        <w:t xml:space="preserve"> in China. </w:t>
      </w:r>
      <w:r w:rsidR="00ED3A17">
        <w:rPr>
          <w:lang w:val="en-US" w:eastAsia="zh-CN"/>
        </w:rPr>
        <w:t xml:space="preserve">The challenge arises from the issue that the guard bands are not monotonously increasing with larger CBW but can be </w:t>
      </w:r>
      <w:r w:rsidR="00A27A6C">
        <w:rPr>
          <w:lang w:val="en-US" w:eastAsia="zh-CN"/>
        </w:rPr>
        <w:t>narrower</w:t>
      </w:r>
      <w:r w:rsidR="00ED3A17">
        <w:rPr>
          <w:lang w:val="en-US" w:eastAsia="zh-CN"/>
        </w:rPr>
        <w:t xml:space="preserve"> as in case of 30MHz and 40MHz CBW.</w:t>
      </w:r>
      <w:r w:rsidR="005B18A8">
        <w:rPr>
          <w:lang w:val="en-US" w:eastAsia="zh-CN"/>
        </w:rPr>
        <w:t xml:space="preserve"> This contribution discusses the aspects of 30MHz UEs accessing a 40MHz network for band n28.</w:t>
      </w:r>
    </w:p>
    <w:p w14:paraId="0555B6C0" w14:textId="144EB4FC" w:rsidR="00087309" w:rsidRDefault="008E7986" w:rsidP="0054128D">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2A81EDAE" w14:textId="382E7F85" w:rsidR="008E597F" w:rsidRDefault="008E597F" w:rsidP="008E597F">
      <w:pPr>
        <w:rPr>
          <w:lang w:val="en-US"/>
        </w:rPr>
      </w:pPr>
      <w:r>
        <w:rPr>
          <w:lang w:val="en-US"/>
        </w:rPr>
        <w:t>Several solutions for the 40MHz CBW network have been discussed and summarized in the WF [1]. In the following we would like to provide our point of view and propose a preferred way forward.</w:t>
      </w:r>
      <w:r w:rsidR="00496F4C">
        <w:rPr>
          <w:lang w:val="en-US"/>
        </w:rPr>
        <w:t xml:space="preserve"> Our understanding is that a solution shall be suited to accommodate legacy devices which are already in the field as those cannot be updated. </w:t>
      </w:r>
    </w:p>
    <w:p w14:paraId="6ADEF216" w14:textId="57807EEE" w:rsidR="00073FE8" w:rsidRPr="00073FE8" w:rsidRDefault="00073FE8" w:rsidP="00073FE8">
      <w:pPr>
        <w:jc w:val="both"/>
      </w:pPr>
      <w:r w:rsidRPr="00DF5329">
        <w:rPr>
          <w:b/>
          <w:bCs/>
        </w:rPr>
        <w:t>Observation 1:</w:t>
      </w:r>
      <w:r>
        <w:t xml:space="preserve"> The adopted solution should be suited for legacy devices as those cannot be updated.</w:t>
      </w:r>
    </w:p>
    <w:tbl>
      <w:tblPr>
        <w:tblStyle w:val="TableGrid"/>
        <w:tblW w:w="0" w:type="auto"/>
        <w:tblLook w:val="04A0" w:firstRow="1" w:lastRow="0" w:firstColumn="1" w:lastColumn="0" w:noHBand="0" w:noVBand="1"/>
      </w:tblPr>
      <w:tblGrid>
        <w:gridCol w:w="9631"/>
      </w:tblGrid>
      <w:tr w:rsidR="0063088B" w14:paraId="35D03DB3" w14:textId="77777777" w:rsidTr="0063088B">
        <w:tc>
          <w:tcPr>
            <w:tcW w:w="9631" w:type="dxa"/>
          </w:tcPr>
          <w:p w14:paraId="465B40C2" w14:textId="2E0C4FFE" w:rsidR="0063088B" w:rsidRDefault="0063088B" w:rsidP="0063088B">
            <w:pPr>
              <w:spacing w:before="120"/>
              <w:jc w:val="both"/>
              <w:rPr>
                <w:lang w:val="en-US"/>
              </w:rPr>
            </w:pPr>
            <w:r>
              <w:rPr>
                <w:lang w:val="en-US"/>
              </w:rPr>
              <w:t xml:space="preserve">Solution 1: </w:t>
            </w:r>
            <w:r w:rsidRPr="00C1493E">
              <w:rPr>
                <w:lang w:val="en-US"/>
              </w:rPr>
              <w:t>UE should follow network configuration and do not declare RRC reconfiguration failure</w:t>
            </w:r>
          </w:p>
        </w:tc>
      </w:tr>
    </w:tbl>
    <w:p w14:paraId="6389D1BE" w14:textId="392A9B09" w:rsidR="00C1493E" w:rsidRDefault="00C1493E" w:rsidP="0063088B">
      <w:pPr>
        <w:spacing w:before="120"/>
        <w:jc w:val="both"/>
        <w:rPr>
          <w:lang w:val="en-US"/>
        </w:rPr>
      </w:pPr>
      <w:r>
        <w:rPr>
          <w:lang w:val="en-US"/>
        </w:rPr>
        <w:t>It was found</w:t>
      </w:r>
      <w:r w:rsidR="00AB7136">
        <w:rPr>
          <w:lang w:val="en-US"/>
        </w:rPr>
        <w:t xml:space="preserve"> in [2]</w:t>
      </w:r>
      <w:r>
        <w:rPr>
          <w:lang w:val="en-US"/>
        </w:rPr>
        <w:t xml:space="preserve"> that certain legacy devices </w:t>
      </w:r>
      <w:r w:rsidR="00D87F60">
        <w:rPr>
          <w:lang w:val="en-US"/>
        </w:rPr>
        <w:t>do</w:t>
      </w:r>
      <w:r w:rsidR="004318CB">
        <w:rPr>
          <w:lang w:val="en-US"/>
        </w:rPr>
        <w:t xml:space="preserve"> </w:t>
      </w:r>
      <w:r>
        <w:rPr>
          <w:lang w:val="en-US"/>
        </w:rPr>
        <w:t>perform</w:t>
      </w:r>
      <w:r w:rsidR="004318CB">
        <w:rPr>
          <w:lang w:val="en-US"/>
        </w:rPr>
        <w:t xml:space="preserve"> a</w:t>
      </w:r>
      <w:r>
        <w:rPr>
          <w:lang w:val="en-US"/>
        </w:rPr>
        <w:t xml:space="preserve"> plausibility check and </w:t>
      </w:r>
      <w:r w:rsidR="004318CB">
        <w:rPr>
          <w:lang w:val="en-US"/>
        </w:rPr>
        <w:t>could</w:t>
      </w:r>
      <w:r>
        <w:rPr>
          <w:lang w:val="en-US"/>
        </w:rPr>
        <w:t xml:space="preserve"> quit the connection with RRC reconfiguration failure. Demanding that a UE does not perform any check but fully trusts the network would only be a solution for </w:t>
      </w:r>
      <w:r w:rsidR="00923E2C">
        <w:rPr>
          <w:lang w:val="en-US"/>
        </w:rPr>
        <w:t>future</w:t>
      </w:r>
      <w:r>
        <w:rPr>
          <w:lang w:val="en-US"/>
        </w:rPr>
        <w:t xml:space="preserve"> devices</w:t>
      </w:r>
      <w:r w:rsidR="00194533">
        <w:rPr>
          <w:lang w:val="en-US"/>
        </w:rPr>
        <w:t xml:space="preserve"> and is conflicting with the first observation</w:t>
      </w:r>
      <w:r>
        <w:rPr>
          <w:lang w:val="en-US"/>
        </w:rPr>
        <w:t>.</w:t>
      </w:r>
      <w:r w:rsidR="009B7988">
        <w:rPr>
          <w:lang w:val="en-US"/>
        </w:rPr>
        <w:t xml:space="preserve"> </w:t>
      </w:r>
      <w:r w:rsidR="00194533">
        <w:rPr>
          <w:lang w:val="en-US"/>
        </w:rPr>
        <w:t>Additionally, i</w:t>
      </w:r>
      <w:r w:rsidR="009B7988">
        <w:rPr>
          <w:lang w:val="en-US"/>
        </w:rPr>
        <w:t>n case</w:t>
      </w:r>
      <w:r w:rsidR="00194533">
        <w:rPr>
          <w:lang w:val="en-US"/>
        </w:rPr>
        <w:t xml:space="preserve"> of solution 1</w:t>
      </w:r>
      <w:r w:rsidR="009B7988">
        <w:rPr>
          <w:lang w:val="en-US"/>
        </w:rPr>
        <w:t xml:space="preserve"> it would </w:t>
      </w:r>
      <w:r w:rsidR="00FF05BF">
        <w:rPr>
          <w:lang w:val="en-US"/>
        </w:rPr>
        <w:t>need to</w:t>
      </w:r>
      <w:r w:rsidR="009B7988">
        <w:rPr>
          <w:lang w:val="en-US"/>
        </w:rPr>
        <w:t xml:space="preserve"> be guarante</w:t>
      </w:r>
      <w:r w:rsidR="00FF05BF">
        <w:rPr>
          <w:lang w:val="en-US"/>
        </w:rPr>
        <w:t>ed that</w:t>
      </w:r>
      <w:r w:rsidR="009B7988">
        <w:rPr>
          <w:lang w:val="en-US"/>
        </w:rPr>
        <w:t xml:space="preserve"> emission compliance</w:t>
      </w:r>
      <w:r w:rsidR="00FF05BF">
        <w:rPr>
          <w:lang w:val="en-US"/>
        </w:rPr>
        <w:t xml:space="preserve"> is achieved</w:t>
      </w:r>
      <w:r w:rsidR="009B7988">
        <w:rPr>
          <w:lang w:val="en-US"/>
        </w:rPr>
        <w:t xml:space="preserve"> </w:t>
      </w:r>
      <w:proofErr w:type="gramStart"/>
      <w:r w:rsidR="00753B58">
        <w:rPr>
          <w:lang w:val="en-US"/>
        </w:rPr>
        <w:t>e.g.</w:t>
      </w:r>
      <w:proofErr w:type="gramEnd"/>
      <w:r w:rsidR="009B7988">
        <w:rPr>
          <w:lang w:val="en-US"/>
        </w:rPr>
        <w:t xml:space="preserve"> by not configuring the lowest RB</w:t>
      </w:r>
      <w:r w:rsidR="00C54945">
        <w:rPr>
          <w:lang w:val="en-US"/>
        </w:rPr>
        <w:t xml:space="preserve"> for UL</w:t>
      </w:r>
      <w:r w:rsidR="009B7988">
        <w:rPr>
          <w:lang w:val="en-US"/>
        </w:rPr>
        <w:t>.</w:t>
      </w:r>
    </w:p>
    <w:tbl>
      <w:tblPr>
        <w:tblStyle w:val="TableGrid"/>
        <w:tblW w:w="0" w:type="auto"/>
        <w:tblLook w:val="04A0" w:firstRow="1" w:lastRow="0" w:firstColumn="1" w:lastColumn="0" w:noHBand="0" w:noVBand="1"/>
      </w:tblPr>
      <w:tblGrid>
        <w:gridCol w:w="9631"/>
      </w:tblGrid>
      <w:tr w:rsidR="0063088B" w14:paraId="26E110B8" w14:textId="77777777" w:rsidTr="0063088B">
        <w:tc>
          <w:tcPr>
            <w:tcW w:w="9631" w:type="dxa"/>
          </w:tcPr>
          <w:p w14:paraId="234B37D1" w14:textId="77777777" w:rsidR="0063088B" w:rsidRDefault="0063088B" w:rsidP="0063088B">
            <w:pPr>
              <w:spacing w:before="120"/>
              <w:jc w:val="both"/>
            </w:pPr>
            <w:r w:rsidRPr="00C1493E">
              <w:t xml:space="preserve">Solution 1a: RAN4 allow carrier edge </w:t>
            </w:r>
            <w:proofErr w:type="gramStart"/>
            <w:r w:rsidRPr="00C1493E">
              <w:t>extend</w:t>
            </w:r>
            <w:proofErr w:type="gramEnd"/>
            <w:r w:rsidRPr="00C1493E">
              <w:t xml:space="preserve"> over duplex edge but not extend over band edge.</w:t>
            </w:r>
            <w:r>
              <w:t xml:space="preserve"> T</w:t>
            </w:r>
            <w:r w:rsidRPr="00C1493E">
              <w:t>he 30 MHz channel bandwidth can be shifted by 1 PRB to increase the lower internal GB above 758 MHz, or alternatively,</w:t>
            </w:r>
            <w:r>
              <w:t xml:space="preserve"> </w:t>
            </w:r>
            <w:r w:rsidRPr="00C1493E">
              <w:t>the carrier grid (SIB1) can be shifted by +100 kHz with the PRB 215 blanked if needed (then the internal guard bands for both the 30 MHz and 40 MHz bandwidths are met), but less attractive</w:t>
            </w:r>
          </w:p>
          <w:p w14:paraId="3F6F2B68" w14:textId="2FEAC5D7" w:rsidR="0063088B" w:rsidRDefault="0063088B" w:rsidP="0063088B">
            <w:pPr>
              <w:jc w:val="both"/>
            </w:pPr>
            <w:r w:rsidRPr="00637FE4">
              <w:t xml:space="preserve">Solution 4: Configure </w:t>
            </w:r>
            <w:proofErr w:type="gramStart"/>
            <w:r w:rsidRPr="00637FE4">
              <w:t>less</w:t>
            </w:r>
            <w:proofErr w:type="gramEnd"/>
            <w:r w:rsidRPr="00637FE4">
              <w:t xml:space="preserve"> number of PRBs in UE dedicated CBW, i.e. configure offset to carrier by 1PRB and bandwidth with 158 PRB.</w:t>
            </w:r>
          </w:p>
        </w:tc>
      </w:tr>
    </w:tbl>
    <w:p w14:paraId="559A6121" w14:textId="75C43D37" w:rsidR="0063088B" w:rsidRDefault="0063088B" w:rsidP="0063088B">
      <w:pPr>
        <w:spacing w:before="120"/>
        <w:jc w:val="both"/>
      </w:pPr>
      <w:r>
        <w:t>Shifting the UE carrier by 1PRB (180kHz) does not comply with the regular channel raster of 100kHz. It has been discussed during the last meeting that it might not be required to strictly follow the specified channel raster. The advantage of this solution is that there would be no specification impact and all changes in carrier shift and scheduling are up to network decision. However, it seems unclear how legacy devices would react and whether a self-check could result into RRC reconfiguration failure. There might also be another issue. As a UE designer expects the channel raster to be 100kHz the equations for deriving the carrier frequency might be simplified to only be suited for the specified rasterization. This could lead to UEs either shifting their carrier frequency by only 100kHz or 200kHz instead of the anticipated 180kHz. Carrier frequency misalignment might lead to reduced data rates or even complete link loss.</w:t>
      </w:r>
    </w:p>
    <w:tbl>
      <w:tblPr>
        <w:tblStyle w:val="TableGrid"/>
        <w:tblW w:w="0" w:type="auto"/>
        <w:tblLook w:val="04A0" w:firstRow="1" w:lastRow="0" w:firstColumn="1" w:lastColumn="0" w:noHBand="0" w:noVBand="1"/>
      </w:tblPr>
      <w:tblGrid>
        <w:gridCol w:w="9631"/>
      </w:tblGrid>
      <w:tr w:rsidR="0063088B" w14:paraId="688E07AA" w14:textId="77777777" w:rsidTr="0063088B">
        <w:tc>
          <w:tcPr>
            <w:tcW w:w="9631" w:type="dxa"/>
          </w:tcPr>
          <w:p w14:paraId="008AD15A" w14:textId="522C0F7A" w:rsidR="0063088B" w:rsidRDefault="0063088B" w:rsidP="0063088B">
            <w:pPr>
              <w:spacing w:before="120"/>
              <w:jc w:val="both"/>
            </w:pPr>
            <w:r w:rsidRPr="004318CB">
              <w:t xml:space="preserve">Solution 2: specify new minimum guard band for 30MHz CBW to make it narrower than that of 40MHz CBW. </w:t>
            </w:r>
            <w:proofErr w:type="gramStart"/>
            <w:r w:rsidRPr="004318CB">
              <w:t>i.e.</w:t>
            </w:r>
            <w:proofErr w:type="gramEnd"/>
            <w:r w:rsidRPr="004318CB">
              <w:t xml:space="preserve"> less than 552.5kHz.</w:t>
            </w:r>
          </w:p>
        </w:tc>
      </w:tr>
    </w:tbl>
    <w:p w14:paraId="69D0E809" w14:textId="283BD1BF" w:rsidR="004318CB" w:rsidRDefault="004318CB" w:rsidP="0063088B">
      <w:pPr>
        <w:spacing w:before="120"/>
        <w:jc w:val="both"/>
      </w:pPr>
      <w:r>
        <w:lastRenderedPageBreak/>
        <w:t xml:space="preserve">This was already discussed during last meeting. It is not preferred as it would have strong impact on RAN4 specification. It seems impossible to </w:t>
      </w:r>
      <w:r w:rsidR="00513FA9">
        <w:t>update</w:t>
      </w:r>
      <w:r>
        <w:t xml:space="preserve"> the minimum guard band as now</w:t>
      </w:r>
      <w:r w:rsidR="00513FA9">
        <w:t>adays</w:t>
      </w:r>
      <w:r>
        <w:t xml:space="preserve"> there should exist hundreds of million devices in the field which implemented the channels and</w:t>
      </w:r>
      <w:r w:rsidR="00513FA9">
        <w:t xml:space="preserve"> its</w:t>
      </w:r>
      <w:r>
        <w:t xml:space="preserve"> requirements.</w:t>
      </w:r>
    </w:p>
    <w:tbl>
      <w:tblPr>
        <w:tblStyle w:val="TableGrid"/>
        <w:tblW w:w="0" w:type="auto"/>
        <w:tblLook w:val="04A0" w:firstRow="1" w:lastRow="0" w:firstColumn="1" w:lastColumn="0" w:noHBand="0" w:noVBand="1"/>
      </w:tblPr>
      <w:tblGrid>
        <w:gridCol w:w="9631"/>
      </w:tblGrid>
      <w:tr w:rsidR="0063088B" w14:paraId="4F9574C0" w14:textId="77777777" w:rsidTr="0063088B">
        <w:tc>
          <w:tcPr>
            <w:tcW w:w="9631" w:type="dxa"/>
          </w:tcPr>
          <w:p w14:paraId="092445C6" w14:textId="057B0B5D" w:rsidR="0063088B" w:rsidRDefault="0063088B" w:rsidP="0063088B">
            <w:pPr>
              <w:spacing w:before="120"/>
              <w:jc w:val="both"/>
            </w:pPr>
            <w:r w:rsidRPr="00FC67A9">
              <w:t>Solution 3: shift the guard band of 40MHz CBW by 40kHz (same as minimum guard band of 30MHz) to higher frequency.</w:t>
            </w:r>
          </w:p>
        </w:tc>
      </w:tr>
    </w:tbl>
    <w:p w14:paraId="6792649C" w14:textId="73DCE6A0" w:rsidR="00FC67A9" w:rsidRDefault="00FC67A9" w:rsidP="00DF5329">
      <w:pPr>
        <w:spacing w:before="120"/>
        <w:jc w:val="both"/>
      </w:pPr>
      <w:r>
        <w:t xml:space="preserve">This </w:t>
      </w:r>
      <w:r w:rsidR="00F63B86">
        <w:t xml:space="preserve">solution </w:t>
      </w:r>
      <w:r>
        <w:t xml:space="preserve">would be a preferred </w:t>
      </w:r>
      <w:r w:rsidR="00F63B86">
        <w:t>pick</w:t>
      </w:r>
      <w:r>
        <w:t xml:space="preserve"> from UE perspective. The </w:t>
      </w:r>
      <w:r w:rsidR="00FE3DE0">
        <w:t xml:space="preserve">impact is on network side as it </w:t>
      </w:r>
      <w:r w:rsidR="00F63B86">
        <w:t>needs to</w:t>
      </w:r>
      <w:r w:rsidR="00FE3DE0">
        <w:t xml:space="preserve"> shift i</w:t>
      </w:r>
      <w:r w:rsidR="00915229">
        <w:t>t</w:t>
      </w:r>
      <w:r w:rsidR="00FE3DE0">
        <w:t xml:space="preserve">s channel by </w:t>
      </w:r>
      <w:r w:rsidR="00344939">
        <w:t>+</w:t>
      </w:r>
      <w:r w:rsidR="00FE3DE0">
        <w:t>40kHz</w:t>
      </w:r>
      <w:r w:rsidR="00637FE4">
        <w:t xml:space="preserve"> to align it with RBs of 30MHz channel.</w:t>
      </w:r>
      <w:r w:rsidR="00FE3DE0">
        <w:t xml:space="preserve"> </w:t>
      </w:r>
      <w:r w:rsidR="00637FE4">
        <w:t xml:space="preserve">The UE </w:t>
      </w:r>
      <w:r w:rsidR="00FE3DE0">
        <w:t xml:space="preserve">can use its 30MHz channel without any adaptation and </w:t>
      </w:r>
      <w:r w:rsidR="00915229">
        <w:t xml:space="preserve">carrier </w:t>
      </w:r>
      <w:r w:rsidR="00FE3DE0">
        <w:t>frequency change.</w:t>
      </w:r>
      <w:r w:rsidR="00610E55">
        <w:t xml:space="preserve"> </w:t>
      </w:r>
      <w:r w:rsidR="00F63B86">
        <w:t>Only the</w:t>
      </w:r>
      <w:r w:rsidR="00610E55">
        <w:t xml:space="preserve"> BS needs to guarantee its compliance with regulatory emission requirements. This can be achieved by</w:t>
      </w:r>
      <w:r w:rsidR="00C82B2D">
        <w:t xml:space="preserve"> either designing</w:t>
      </w:r>
      <w:r w:rsidR="00610E55">
        <w:t xml:space="preserve"> </w:t>
      </w:r>
      <w:r w:rsidR="00C82B2D">
        <w:t>the BS to guarantee</w:t>
      </w:r>
      <w:r w:rsidR="00877887">
        <w:t xml:space="preserve"> DL</w:t>
      </w:r>
      <w:r w:rsidR="0093178B">
        <w:t xml:space="preserve"> Tx</w:t>
      </w:r>
      <w:r w:rsidR="00C82B2D">
        <w:t xml:space="preserve"> </w:t>
      </w:r>
      <w:r w:rsidR="00610E55">
        <w:t>emission compliance</w:t>
      </w:r>
      <w:r w:rsidR="00C82B2D">
        <w:t xml:space="preserve"> </w:t>
      </w:r>
      <w:r w:rsidR="00610E55">
        <w:t xml:space="preserve">with 40kHz reduced upper guard band or by not </w:t>
      </w:r>
      <w:r w:rsidR="00C82B2D">
        <w:t>scheduling</w:t>
      </w:r>
      <w:r w:rsidR="00610E55">
        <w:t xml:space="preserve"> the upper most RB</w:t>
      </w:r>
      <w:r w:rsidR="00C82B2D">
        <w:t xml:space="preserve"> in DL</w:t>
      </w:r>
      <w:r w:rsidR="00610E55">
        <w:t xml:space="preserve">. Making the network compliant might be easier </w:t>
      </w:r>
      <w:r w:rsidR="00EF3AC0">
        <w:t>compared to</w:t>
      </w:r>
      <w:r w:rsidR="00610E55">
        <w:t xml:space="preserve"> forcing</w:t>
      </w:r>
      <w:r w:rsidR="0068031C">
        <w:t xml:space="preserve"> all</w:t>
      </w:r>
      <w:r w:rsidR="00610E55">
        <w:t xml:space="preserve"> UEs to </w:t>
      </w:r>
      <w:r w:rsidR="00EF3AC0">
        <w:t xml:space="preserve">be </w:t>
      </w:r>
      <w:r w:rsidR="00B917D6">
        <w:t>compliant</w:t>
      </w:r>
      <w:r w:rsidR="00EF3AC0">
        <w:t xml:space="preserve"> especially </w:t>
      </w:r>
      <w:r w:rsidR="00BA1CB2">
        <w:t xml:space="preserve">when </w:t>
      </w:r>
      <w:r w:rsidR="00EF3AC0">
        <w:t>considering</w:t>
      </w:r>
      <w:r w:rsidR="00610E55">
        <w:t xml:space="preserve"> the </w:t>
      </w:r>
      <w:r w:rsidR="00F63B86">
        <w:t>multitude of already existing</w:t>
      </w:r>
      <w:r w:rsidR="00610E55">
        <w:t xml:space="preserve"> legacy </w:t>
      </w:r>
      <w:r w:rsidR="00C82B2D">
        <w:t>devices</w:t>
      </w:r>
      <w:r w:rsidR="0068031C">
        <w:t>.</w:t>
      </w:r>
    </w:p>
    <w:p w14:paraId="122E706B" w14:textId="78D1420B" w:rsidR="00623EF5" w:rsidRPr="00623EF5" w:rsidRDefault="00C70B0A" w:rsidP="00F95315">
      <w:pPr>
        <w:jc w:val="both"/>
      </w:pPr>
      <w:r w:rsidRPr="00FC0EF5">
        <w:rPr>
          <w:b/>
          <w:bCs/>
        </w:rPr>
        <w:t>Observation</w:t>
      </w:r>
      <w:r w:rsidR="00DF5329">
        <w:rPr>
          <w:b/>
          <w:bCs/>
        </w:rPr>
        <w:t xml:space="preserve"> 2</w:t>
      </w:r>
      <w:r w:rsidRPr="00FC0EF5">
        <w:rPr>
          <w:b/>
          <w:bCs/>
        </w:rPr>
        <w:t>:</w:t>
      </w:r>
      <w:r>
        <w:t xml:space="preserve"> UE</w:t>
      </w:r>
      <w:r w:rsidR="008F31BF">
        <w:t>s</w:t>
      </w:r>
      <w:r>
        <w:t xml:space="preserve"> wh</w:t>
      </w:r>
      <w:r w:rsidR="008F31BF">
        <w:t>ich</w:t>
      </w:r>
      <w:r>
        <w:t xml:space="preserve"> are assigned with 1RB (180kHz) carrier shift might consider this to be an error and drop the link as it is not matching the specified grid. Furthermore, any UE using simplified carrier frequency calculation suited for 100kHz channel raster grid might falsely configure its carrier to 100kHz or 200kHz shift</w:t>
      </w:r>
      <w:r w:rsidR="00C13A50">
        <w:t xml:space="preserve"> negatively affecting link performance or causing link loss. </w:t>
      </w:r>
      <w:r>
        <w:t xml:space="preserve">It might be easier to shift BS carrier frequency instead of UE carrier frequency as it </w:t>
      </w:r>
      <w:r w:rsidR="00FC0EF5">
        <w:t>should not</w:t>
      </w:r>
      <w:r>
        <w:t xml:space="preserve"> </w:t>
      </w:r>
      <w:r w:rsidR="00FC0EF5">
        <w:t>have</w:t>
      </w:r>
      <w:r>
        <w:t xml:space="preserve"> impact on the multitude of legacy devices. </w:t>
      </w:r>
    </w:p>
    <w:tbl>
      <w:tblPr>
        <w:tblStyle w:val="TableGrid"/>
        <w:tblW w:w="0" w:type="auto"/>
        <w:tblLook w:val="04A0" w:firstRow="1" w:lastRow="0" w:firstColumn="1" w:lastColumn="0" w:noHBand="0" w:noVBand="1"/>
      </w:tblPr>
      <w:tblGrid>
        <w:gridCol w:w="9631"/>
      </w:tblGrid>
      <w:tr w:rsidR="006600BB" w14:paraId="231FF665" w14:textId="77777777" w:rsidTr="006600BB">
        <w:tc>
          <w:tcPr>
            <w:tcW w:w="9631" w:type="dxa"/>
          </w:tcPr>
          <w:p w14:paraId="02FC4642" w14:textId="512756C2" w:rsidR="006600BB" w:rsidRPr="006600BB" w:rsidRDefault="006600BB" w:rsidP="006208C4">
            <w:pPr>
              <w:spacing w:before="120" w:afterLines="50" w:after="120"/>
              <w:rPr>
                <w:lang w:eastAsia="zh-CN"/>
              </w:rPr>
            </w:pPr>
            <w:r>
              <w:rPr>
                <w:rFonts w:hint="eastAsia"/>
                <w:lang w:val="en-US" w:eastAsia="zh-CN"/>
              </w:rPr>
              <w:t xml:space="preserve">Tentative agreement for further check: </w:t>
            </w:r>
            <w:r>
              <w:rPr>
                <w:lang w:eastAsia="zh-CN"/>
              </w:rPr>
              <w:t xml:space="preserve">UE dedicated </w:t>
            </w:r>
            <w:r>
              <w:rPr>
                <w:rFonts w:hint="eastAsia"/>
                <w:lang w:val="en-US" w:eastAsia="zh-CN"/>
              </w:rPr>
              <w:t>carrier edge</w:t>
            </w:r>
            <w:r>
              <w:rPr>
                <w:lang w:eastAsia="zh-CN"/>
              </w:rPr>
              <w:t xml:space="preserve"> is allowed to extend over the duplexer edge</w:t>
            </w:r>
            <w:r>
              <w:rPr>
                <w:lang w:val="en-US" w:eastAsia="zh-CN"/>
              </w:rPr>
              <w:t xml:space="preserve">, </w:t>
            </w:r>
            <w:proofErr w:type="gramStart"/>
            <w:r>
              <w:rPr>
                <w:lang w:val="en-US" w:eastAsia="zh-CN"/>
              </w:rPr>
              <w:t>e.g.</w:t>
            </w:r>
            <w:proofErr w:type="gramEnd"/>
            <w:r>
              <w:rPr>
                <w:lang w:val="en-US" w:eastAsia="zh-CN"/>
              </w:rPr>
              <w:t xml:space="preserve"> 788MHz for n28 30MHz CBW</w:t>
            </w:r>
            <w:r>
              <w:rPr>
                <w:rFonts w:hint="eastAsia"/>
                <w:lang w:val="en-US" w:eastAsia="zh-CN"/>
              </w:rPr>
              <w:t>.</w:t>
            </w:r>
            <w:r>
              <w:rPr>
                <w:lang w:eastAsia="zh-CN"/>
              </w:rPr>
              <w:t xml:space="preserve"> It’s noted that maximum transmission bandwidth configuration doesn’t extend over the duplexer edge in such case.</w:t>
            </w:r>
          </w:p>
        </w:tc>
      </w:tr>
    </w:tbl>
    <w:p w14:paraId="62E57D33" w14:textId="33D9B132" w:rsidR="00E62E86" w:rsidRDefault="0003726B" w:rsidP="00E62E86">
      <w:pPr>
        <w:spacing w:before="120"/>
        <w:jc w:val="both"/>
        <w:rPr>
          <w:lang w:val="en-US"/>
        </w:rPr>
      </w:pPr>
      <w:r>
        <w:rPr>
          <w:lang w:val="en-US"/>
        </w:rPr>
        <w:t xml:space="preserve">Band n28 uses dual duplexer to meet the demanding out-of-band emission requirements. The duplexer </w:t>
      </w:r>
      <w:r w:rsidR="00B67399">
        <w:rPr>
          <w:lang w:val="en-US"/>
        </w:rPr>
        <w:t>divides</w:t>
      </w:r>
      <w:r>
        <w:rPr>
          <w:lang w:val="en-US"/>
        </w:rPr>
        <w:t xml:space="preserve"> </w:t>
      </w:r>
      <w:r w:rsidR="00B67399">
        <w:rPr>
          <w:lang w:val="en-US"/>
        </w:rPr>
        <w:t xml:space="preserve">the </w:t>
      </w:r>
      <w:r>
        <w:rPr>
          <w:lang w:val="en-US"/>
        </w:rPr>
        <w:t>total bandwidth</w:t>
      </w:r>
      <w:r w:rsidR="00B67399">
        <w:rPr>
          <w:lang w:val="en-US"/>
        </w:rPr>
        <w:t xml:space="preserve"> of</w:t>
      </w:r>
      <w:r>
        <w:rPr>
          <w:lang w:val="en-US"/>
        </w:rPr>
        <w:t xml:space="preserve"> 45MHz into a lower and a</w:t>
      </w:r>
      <w:r w:rsidR="001C1220">
        <w:rPr>
          <w:lang w:val="en-US"/>
        </w:rPr>
        <w:t xml:space="preserve">n </w:t>
      </w:r>
      <w:r>
        <w:rPr>
          <w:lang w:val="en-US"/>
        </w:rPr>
        <w:t xml:space="preserve">upper part. Both parts </w:t>
      </w:r>
      <w:r w:rsidR="00B67399">
        <w:rPr>
          <w:lang w:val="en-US"/>
        </w:rPr>
        <w:t>have an overlapping area</w:t>
      </w:r>
      <w:r>
        <w:rPr>
          <w:lang w:val="en-US"/>
        </w:rPr>
        <w:t xml:space="preserve"> and</w:t>
      </w:r>
      <w:r w:rsidR="00B67399">
        <w:rPr>
          <w:lang w:val="en-US"/>
        </w:rPr>
        <w:t xml:space="preserve"> therefore</w:t>
      </w:r>
      <w:r>
        <w:rPr>
          <w:lang w:val="en-US"/>
        </w:rPr>
        <w:t xml:space="preserve"> each grant</w:t>
      </w:r>
      <w:r w:rsidR="001C1220">
        <w:rPr>
          <w:lang w:val="en-US"/>
        </w:rPr>
        <w:t xml:space="preserve"> a range of</w:t>
      </w:r>
      <w:r>
        <w:rPr>
          <w:lang w:val="en-US"/>
        </w:rPr>
        <w:t xml:space="preserve"> 30MHz</w:t>
      </w:r>
      <w:r w:rsidR="001C1220">
        <w:rPr>
          <w:lang w:val="en-US"/>
        </w:rPr>
        <w:t xml:space="preserve"> for</w:t>
      </w:r>
      <w:r>
        <w:rPr>
          <w:lang w:val="en-US"/>
        </w:rPr>
        <w:t xml:space="preserve"> UL/DL.</w:t>
      </w:r>
      <w:r w:rsidR="00A30E83">
        <w:rPr>
          <w:lang w:val="en-US"/>
        </w:rPr>
        <w:t xml:space="preserve"> </w:t>
      </w:r>
      <w:r w:rsidR="00B67399">
        <w:rPr>
          <w:lang w:val="en-US"/>
        </w:rPr>
        <w:t xml:space="preserve">A UE </w:t>
      </w:r>
      <w:r w:rsidR="004F7454">
        <w:rPr>
          <w:lang w:val="en-US"/>
        </w:rPr>
        <w:t>is</w:t>
      </w:r>
      <w:r w:rsidR="00B67399">
        <w:rPr>
          <w:lang w:val="en-US"/>
        </w:rPr>
        <w:t xml:space="preserve"> designed to fit its 30MHz CBW into the</w:t>
      </w:r>
      <w:r w:rsidR="00E5314D">
        <w:rPr>
          <w:lang w:val="en-US"/>
        </w:rPr>
        <w:t xml:space="preserve"> dual</w:t>
      </w:r>
      <w:r w:rsidR="00B67399">
        <w:rPr>
          <w:lang w:val="en-US"/>
        </w:rPr>
        <w:t xml:space="preserve"> duplexer range</w:t>
      </w:r>
      <w:r w:rsidR="001C1220">
        <w:rPr>
          <w:lang w:val="en-US"/>
        </w:rPr>
        <w:t xml:space="preserve"> with the expected carrier frequency</w:t>
      </w:r>
      <w:r w:rsidR="00B67399">
        <w:rPr>
          <w:lang w:val="en-US"/>
        </w:rPr>
        <w:t xml:space="preserve"> so that it can </w:t>
      </w:r>
      <w:r w:rsidR="00A86922">
        <w:rPr>
          <w:lang w:val="en-US"/>
        </w:rPr>
        <w:t>compensate</w:t>
      </w:r>
      <w:r w:rsidR="00B67399">
        <w:rPr>
          <w:lang w:val="en-US"/>
        </w:rPr>
        <w:t xml:space="preserve"> the distortions created by the filter flanks. If the UE carrier frequency is shifted by +100kHz or +180kHz then the upper</w:t>
      </w:r>
      <w:r w:rsidR="00565AAF">
        <w:rPr>
          <w:lang w:val="en-US"/>
        </w:rPr>
        <w:t xml:space="preserve"> RB might experience increased phase distortion and filter attenuation from the falling</w:t>
      </w:r>
      <w:r w:rsidR="00B67399">
        <w:rPr>
          <w:lang w:val="en-US"/>
        </w:rPr>
        <w:t xml:space="preserve"> filter flank</w:t>
      </w:r>
      <w:r w:rsidR="00565AAF">
        <w:rPr>
          <w:lang w:val="en-US"/>
        </w:rPr>
        <w:t>.</w:t>
      </w:r>
      <w:r w:rsidR="00B67399">
        <w:rPr>
          <w:lang w:val="en-US"/>
        </w:rPr>
        <w:t xml:space="preserve"> </w:t>
      </w:r>
      <w:r w:rsidR="00565AAF">
        <w:rPr>
          <w:lang w:val="en-US"/>
        </w:rPr>
        <w:t>The total</w:t>
      </w:r>
      <w:r w:rsidR="00B67399">
        <w:rPr>
          <w:lang w:val="en-US"/>
        </w:rPr>
        <w:t xml:space="preserve"> distortion</w:t>
      </w:r>
      <w:r w:rsidR="00565AAF">
        <w:rPr>
          <w:lang w:val="en-US"/>
        </w:rPr>
        <w:t>s</w:t>
      </w:r>
      <w:r w:rsidR="00B67399">
        <w:rPr>
          <w:lang w:val="en-US"/>
        </w:rPr>
        <w:t xml:space="preserve"> </w:t>
      </w:r>
      <w:r w:rsidR="00565AAF">
        <w:rPr>
          <w:lang w:val="en-US"/>
        </w:rPr>
        <w:t>could</w:t>
      </w:r>
      <w:r w:rsidR="00B67399">
        <w:rPr>
          <w:lang w:val="en-US"/>
        </w:rPr>
        <w:t xml:space="preserve"> negatively affect UL and DL performance.</w:t>
      </w:r>
      <w:r w:rsidR="006D1D51">
        <w:rPr>
          <w:lang w:val="en-US"/>
        </w:rPr>
        <w:t xml:space="preserve"> If such a scenario would be </w:t>
      </w:r>
      <w:r w:rsidR="00554E84">
        <w:rPr>
          <w:lang w:val="en-US"/>
        </w:rPr>
        <w:t>tested,</w:t>
      </w:r>
      <w:r w:rsidR="006D1D51">
        <w:rPr>
          <w:lang w:val="en-US"/>
        </w:rPr>
        <w:t xml:space="preserve"> then this could lead to a compliant UE </w:t>
      </w:r>
      <w:r w:rsidR="00554E84">
        <w:rPr>
          <w:lang w:val="en-US"/>
        </w:rPr>
        <w:t>failing</w:t>
      </w:r>
      <w:r w:rsidR="006D1D51">
        <w:rPr>
          <w:lang w:val="en-US"/>
        </w:rPr>
        <w:t xml:space="preserve"> the test requirements.</w:t>
      </w:r>
      <w:r w:rsidR="00565AAF">
        <w:rPr>
          <w:lang w:val="en-US"/>
        </w:rPr>
        <w:t xml:space="preserve"> Therefore, w</w:t>
      </w:r>
      <w:r>
        <w:rPr>
          <w:lang w:val="en-US"/>
        </w:rPr>
        <w:t xml:space="preserve">e do not prefer </w:t>
      </w:r>
      <w:r w:rsidR="007E3B2F">
        <w:rPr>
          <w:lang w:val="en-US"/>
        </w:rPr>
        <w:t>to</w:t>
      </w:r>
      <w:r w:rsidR="00115129">
        <w:rPr>
          <w:lang w:val="en-US"/>
        </w:rPr>
        <w:t xml:space="preserve"> </w:t>
      </w:r>
      <w:r w:rsidR="0015767B">
        <w:rPr>
          <w:lang w:val="en-US"/>
        </w:rPr>
        <w:t>have a</w:t>
      </w:r>
      <w:r w:rsidR="005A231D">
        <w:rPr>
          <w:lang w:val="en-US"/>
        </w:rPr>
        <w:t xml:space="preserve"> final</w:t>
      </w:r>
      <w:r w:rsidR="0015767B">
        <w:rPr>
          <w:lang w:val="en-US"/>
        </w:rPr>
        <w:t xml:space="preserve"> </w:t>
      </w:r>
      <w:r w:rsidR="006D1D51">
        <w:rPr>
          <w:lang w:val="en-US"/>
        </w:rPr>
        <w:t>approval</w:t>
      </w:r>
      <w:r w:rsidR="00115129">
        <w:rPr>
          <w:lang w:val="en-US"/>
        </w:rPr>
        <w:t xml:space="preserve"> on the</w:t>
      </w:r>
      <w:r>
        <w:rPr>
          <w:lang w:val="en-US"/>
        </w:rPr>
        <w:t xml:space="preserve"> tentative agreement</w:t>
      </w:r>
      <w:r w:rsidR="00565AAF">
        <w:rPr>
          <w:lang w:val="en-US"/>
        </w:rPr>
        <w:t>.</w:t>
      </w:r>
      <w:r w:rsidR="008C65DB">
        <w:rPr>
          <w:lang w:val="en-US"/>
        </w:rPr>
        <w:t xml:space="preserve"> </w:t>
      </w:r>
      <w:r w:rsidR="005A231D">
        <w:rPr>
          <w:lang w:val="en-US"/>
        </w:rPr>
        <w:t>To circumvent the issue with the uppermost RB it</w:t>
      </w:r>
      <w:r w:rsidR="008C65DB">
        <w:rPr>
          <w:lang w:val="en-US"/>
        </w:rPr>
        <w:t xml:space="preserve"> could be blanked to avoid the decreased performance. Comparing this with solution 3 it seem</w:t>
      </w:r>
      <w:r w:rsidR="00766A38">
        <w:rPr>
          <w:lang w:val="en-US"/>
        </w:rPr>
        <w:t>s</w:t>
      </w:r>
      <w:r w:rsidR="008C65DB">
        <w:rPr>
          <w:lang w:val="en-US"/>
        </w:rPr>
        <w:t xml:space="preserve"> that the solution 3 would be superior as it has no impact on the UE and even could use all RBs if the BS has good emission performance.</w:t>
      </w:r>
      <w:r w:rsidR="005A231D">
        <w:rPr>
          <w:lang w:val="en-US"/>
        </w:rPr>
        <w:t xml:space="preserve"> Furthermore</w:t>
      </w:r>
      <w:r w:rsidR="0042418E">
        <w:rPr>
          <w:lang w:val="en-US"/>
        </w:rPr>
        <w:t>,</w:t>
      </w:r>
      <w:r w:rsidR="005A231D">
        <w:rPr>
          <w:lang w:val="en-US"/>
        </w:rPr>
        <w:t xml:space="preserve"> the UE can </w:t>
      </w:r>
      <w:r w:rsidR="0042418E">
        <w:rPr>
          <w:lang w:val="en-US"/>
        </w:rPr>
        <w:t>operate</w:t>
      </w:r>
      <w:r w:rsidR="005A231D">
        <w:rPr>
          <w:lang w:val="en-US"/>
        </w:rPr>
        <w:t xml:space="preserve"> on the 100kHz grid.</w:t>
      </w:r>
      <w:r w:rsidR="008C5C44">
        <w:rPr>
          <w:lang w:val="en-US"/>
        </w:rPr>
        <w:t xml:space="preserve"> It was mentioned in [2] that</w:t>
      </w:r>
      <w:r w:rsidR="006A692B">
        <w:rPr>
          <w:lang w:val="en-US"/>
        </w:rPr>
        <w:t xml:space="preserve"> </w:t>
      </w:r>
      <w:r w:rsidR="008C5C44">
        <w:rPr>
          <w:lang w:val="en-US"/>
        </w:rPr>
        <w:t>future</w:t>
      </w:r>
      <w:r w:rsidR="00E62E86">
        <w:rPr>
          <w:lang w:val="en-US"/>
        </w:rPr>
        <w:t xml:space="preserve"> </w:t>
      </w:r>
      <w:r w:rsidR="008C5C44">
        <w:rPr>
          <w:lang w:val="en-US"/>
        </w:rPr>
        <w:t xml:space="preserve">releases </w:t>
      </w:r>
      <w:r w:rsidR="00371382">
        <w:rPr>
          <w:lang w:val="en-US"/>
        </w:rPr>
        <w:t>might</w:t>
      </w:r>
      <w:r w:rsidR="008C5C44">
        <w:rPr>
          <w:lang w:val="en-US"/>
        </w:rPr>
        <w:t xml:space="preserve"> support 40MHz CBW for UEs. We do not see a need for a UE supporting 40MHz CBW. However, even if future UEs would</w:t>
      </w:r>
      <w:r w:rsidR="00C609E5">
        <w:rPr>
          <w:lang w:val="en-US"/>
        </w:rPr>
        <w:t xml:space="preserve"> </w:t>
      </w:r>
      <w:r w:rsidR="00E62E86">
        <w:rPr>
          <w:lang w:val="en-US"/>
        </w:rPr>
        <w:t>support 40MHz channel</w:t>
      </w:r>
      <w:r w:rsidR="00716EF6">
        <w:rPr>
          <w:lang w:val="en-US"/>
        </w:rPr>
        <w:t xml:space="preserve"> </w:t>
      </w:r>
      <w:r w:rsidR="00E62E86">
        <w:rPr>
          <w:lang w:val="en-US"/>
        </w:rPr>
        <w:t>the carrier misalignment with channel raster should not be an issue as this exception could be explicitly handled</w:t>
      </w:r>
      <w:r w:rsidR="0061546D">
        <w:rPr>
          <w:lang w:val="en-US"/>
        </w:rPr>
        <w:t xml:space="preserve"> (</w:t>
      </w:r>
      <w:proofErr w:type="gramStart"/>
      <w:r w:rsidR="0061546D">
        <w:rPr>
          <w:lang w:val="en-US"/>
        </w:rPr>
        <w:t>e.g.</w:t>
      </w:r>
      <w:proofErr w:type="gramEnd"/>
      <w:r w:rsidR="0061546D">
        <w:rPr>
          <w:lang w:val="en-US"/>
        </w:rPr>
        <w:t xml:space="preserve"> with capability signaling)</w:t>
      </w:r>
      <w:r w:rsidR="00E62E86">
        <w:rPr>
          <w:lang w:val="en-US"/>
        </w:rPr>
        <w:t xml:space="preserve"> while defining the requirements in a later release.</w:t>
      </w:r>
    </w:p>
    <w:p w14:paraId="2D438BC7" w14:textId="4C6375A1" w:rsidR="00E5314D" w:rsidRDefault="00E5314D" w:rsidP="00E62E86">
      <w:pPr>
        <w:jc w:val="both"/>
        <w:rPr>
          <w:lang w:val="en-US"/>
        </w:rPr>
      </w:pPr>
      <w:r w:rsidRPr="00E5314D">
        <w:rPr>
          <w:b/>
          <w:bCs/>
          <w:lang w:val="en-US"/>
        </w:rPr>
        <w:t>Observation 3:</w:t>
      </w:r>
      <w:r>
        <w:rPr>
          <w:lang w:val="en-US"/>
        </w:rPr>
        <w:t xml:space="preserve"> A UE </w:t>
      </w:r>
      <w:r w:rsidR="002758FC">
        <w:rPr>
          <w:lang w:val="en-US"/>
        </w:rPr>
        <w:t>is</w:t>
      </w:r>
      <w:r>
        <w:rPr>
          <w:lang w:val="en-US"/>
        </w:rPr>
        <w:t xml:space="preserve"> designed to fit </w:t>
      </w:r>
      <w:r w:rsidR="009772B9">
        <w:rPr>
          <w:lang w:val="en-US"/>
        </w:rPr>
        <w:t>a</w:t>
      </w:r>
      <w:r>
        <w:rPr>
          <w:lang w:val="en-US"/>
        </w:rPr>
        <w:t xml:space="preserve"> 30MHz CBW into the dual duplexer range with</w:t>
      </w:r>
      <w:r w:rsidR="009772B9">
        <w:rPr>
          <w:lang w:val="en-US"/>
        </w:rPr>
        <w:t xml:space="preserve"> respect to</w:t>
      </w:r>
      <w:r>
        <w:rPr>
          <w:lang w:val="en-US"/>
        </w:rPr>
        <w:t xml:space="preserve"> the expected carrier frequency so that it can </w:t>
      </w:r>
      <w:r w:rsidR="00171497">
        <w:rPr>
          <w:lang w:val="en-US"/>
        </w:rPr>
        <w:t>compensate</w:t>
      </w:r>
      <w:r>
        <w:rPr>
          <w:lang w:val="en-US"/>
        </w:rPr>
        <w:t xml:space="preserve"> the distortions created by the filter flanks. If the UE carrier frequency is shifted by +100kHz or +180kHz then the upper RB might experience increased phase distortion from the</w:t>
      </w:r>
      <w:r w:rsidR="009772B9">
        <w:rPr>
          <w:lang w:val="en-US"/>
        </w:rPr>
        <w:t xml:space="preserve"> filter ripple and attenuation from the</w:t>
      </w:r>
      <w:r>
        <w:rPr>
          <w:lang w:val="en-US"/>
        </w:rPr>
        <w:t xml:space="preserve"> falling filter flank. The total distortions could negatively affect UL and DL performance. If such a scenario would be tested, then this could lead to a compliant UE failing the test requirements.</w:t>
      </w:r>
    </w:p>
    <w:p w14:paraId="279D0DD7" w14:textId="1030D717" w:rsidR="006A692B" w:rsidRDefault="006A692B" w:rsidP="006A692B">
      <w:pPr>
        <w:jc w:val="both"/>
        <w:rPr>
          <w:lang w:val="en-US"/>
        </w:rPr>
      </w:pPr>
      <w:r w:rsidRPr="006A692B">
        <w:rPr>
          <w:b/>
          <w:bCs/>
          <w:lang w:val="en-US"/>
        </w:rPr>
        <w:t>Observation 4:</w:t>
      </w:r>
      <w:r w:rsidR="003C44D9">
        <w:rPr>
          <w:b/>
          <w:bCs/>
          <w:lang w:val="en-US"/>
        </w:rPr>
        <w:t xml:space="preserve"> </w:t>
      </w:r>
      <w:r w:rsidR="003C44D9" w:rsidRPr="003C44D9">
        <w:rPr>
          <w:lang w:val="en-US"/>
        </w:rPr>
        <w:t>There should not be a need for a 40MHz UE due to the nature of band 28.</w:t>
      </w:r>
      <w:r>
        <w:rPr>
          <w:lang w:val="en-US"/>
        </w:rPr>
        <w:t xml:space="preserve"> </w:t>
      </w:r>
      <w:r w:rsidR="00B71790">
        <w:rPr>
          <w:lang w:val="en-US"/>
        </w:rPr>
        <w:t>Even if</w:t>
      </w:r>
      <w:r>
        <w:rPr>
          <w:lang w:val="en-US"/>
        </w:rPr>
        <w:t xml:space="preserve"> future UEs</w:t>
      </w:r>
      <w:r w:rsidR="00C609E5">
        <w:rPr>
          <w:lang w:val="en-US"/>
        </w:rPr>
        <w:t xml:space="preserve"> would</w:t>
      </w:r>
      <w:r>
        <w:rPr>
          <w:lang w:val="en-US"/>
        </w:rPr>
        <w:t xml:space="preserve"> support 40MHz channel the</w:t>
      </w:r>
      <w:r w:rsidR="00754B32">
        <w:rPr>
          <w:lang w:val="en-US"/>
        </w:rPr>
        <w:t xml:space="preserve"> </w:t>
      </w:r>
      <w:r>
        <w:rPr>
          <w:lang w:val="en-US"/>
        </w:rPr>
        <w:t xml:space="preserve">carrier </w:t>
      </w:r>
      <w:r w:rsidR="0069795B">
        <w:rPr>
          <w:lang w:val="en-US"/>
        </w:rPr>
        <w:t>misalignment</w:t>
      </w:r>
      <w:r>
        <w:rPr>
          <w:lang w:val="en-US"/>
        </w:rPr>
        <w:t xml:space="preserve"> with channel raster should not be an issue as </w:t>
      </w:r>
      <w:r w:rsidR="00017915">
        <w:rPr>
          <w:lang w:val="en-US"/>
        </w:rPr>
        <w:t xml:space="preserve">the BS misalignment </w:t>
      </w:r>
      <w:r>
        <w:rPr>
          <w:lang w:val="en-US"/>
        </w:rPr>
        <w:t>c</w:t>
      </w:r>
      <w:r w:rsidR="00E62E86">
        <w:rPr>
          <w:lang w:val="en-US"/>
        </w:rPr>
        <w:t>ould</w:t>
      </w:r>
      <w:r>
        <w:rPr>
          <w:lang w:val="en-US"/>
        </w:rPr>
        <w:t xml:space="preserve"> be</w:t>
      </w:r>
      <w:r w:rsidR="00E62E86">
        <w:rPr>
          <w:lang w:val="en-US"/>
        </w:rPr>
        <w:t xml:space="preserve"> explicitly</w:t>
      </w:r>
      <w:r>
        <w:rPr>
          <w:lang w:val="en-US"/>
        </w:rPr>
        <w:t xml:space="preserve"> handled</w:t>
      </w:r>
      <w:r w:rsidR="00B71790">
        <w:rPr>
          <w:lang w:val="en-US"/>
        </w:rPr>
        <w:t xml:space="preserve"> </w:t>
      </w:r>
      <w:r>
        <w:rPr>
          <w:lang w:val="en-US"/>
        </w:rPr>
        <w:t>while defining the requirements in a later release.</w:t>
      </w:r>
    </w:p>
    <w:p w14:paraId="4FA29F9A" w14:textId="25ACE7C2" w:rsidR="006600BB" w:rsidRDefault="00607D16" w:rsidP="00F95315">
      <w:pPr>
        <w:jc w:val="both"/>
      </w:pPr>
      <w:r w:rsidRPr="00FC0EF5">
        <w:rPr>
          <w:b/>
          <w:bCs/>
        </w:rPr>
        <w:t>Proposal</w:t>
      </w:r>
      <w:r w:rsidR="00171D7F">
        <w:rPr>
          <w:b/>
          <w:bCs/>
        </w:rPr>
        <w:t xml:space="preserve"> 1</w:t>
      </w:r>
      <w:r w:rsidRPr="00FC0EF5">
        <w:rPr>
          <w:b/>
          <w:bCs/>
        </w:rPr>
        <w:t>:</w:t>
      </w:r>
      <w:r w:rsidR="00E5314D">
        <w:rPr>
          <w:b/>
          <w:bCs/>
        </w:rPr>
        <w:t xml:space="preserve"> </w:t>
      </w:r>
      <w:r w:rsidR="00E5314D" w:rsidRPr="00E5314D">
        <w:t>Do not agree on tentative agreement</w:t>
      </w:r>
      <w:r w:rsidR="00E043B8">
        <w:t xml:space="preserve">. Instead </w:t>
      </w:r>
      <w:r w:rsidR="00E5314D" w:rsidRPr="00E5314D">
        <w:t>a</w:t>
      </w:r>
      <w:r w:rsidRPr="00E5314D">
        <w:t xml:space="preserve">dapt </w:t>
      </w:r>
      <w:r>
        <w:t>a solution which aligns the RBs of the 40MHz channel with the RB locations of the 30MHz channel (</w:t>
      </w:r>
      <w:proofErr w:type="gramStart"/>
      <w:r>
        <w:t>e.g.</w:t>
      </w:r>
      <w:proofErr w:type="gramEnd"/>
      <w:r>
        <w:t xml:space="preserve"> solution 3). This means that the 40MHz BS carrier frequency is shifted by +40kHz to achieve same guard band as defined for 30MHz channel. Dependent on BS emission performance all RBs can be used for UL/DL or the uppermost DL RB might not be scheduled.</w:t>
      </w:r>
      <w:r w:rsidR="008C0003">
        <w:t xml:space="preserve"> Such a solution </w:t>
      </w:r>
      <w:r w:rsidR="00753C00">
        <w:t>enables the operators</w:t>
      </w:r>
      <w:r w:rsidR="008C0003">
        <w:t xml:space="preserve"> </w:t>
      </w:r>
      <w:r w:rsidR="00753C00">
        <w:t>to achieve the</w:t>
      </w:r>
      <w:r w:rsidR="008C0003">
        <w:t xml:space="preserve"> necessary improvements</w:t>
      </w:r>
      <w:r w:rsidR="007771B2">
        <w:t xml:space="preserve"> on their side</w:t>
      </w:r>
      <w:r w:rsidR="008C0003">
        <w:t xml:space="preserve"> and</w:t>
      </w:r>
      <w:r w:rsidR="00E92F47">
        <w:t xml:space="preserve"> </w:t>
      </w:r>
      <w:r w:rsidR="008C0003">
        <w:t xml:space="preserve">might be the easiest solution </w:t>
      </w:r>
      <w:r w:rsidR="00926B13">
        <w:t>to accommodate</w:t>
      </w:r>
      <w:r w:rsidR="008C0003">
        <w:t xml:space="preserve"> legacy devices.</w:t>
      </w:r>
      <w:r w:rsidR="0052340E">
        <w:t xml:space="preserve"> </w:t>
      </w:r>
    </w:p>
    <w:p w14:paraId="38EABCD8" w14:textId="0B990196" w:rsidR="00C9191C" w:rsidRDefault="00C9191C" w:rsidP="00F95315">
      <w:pPr>
        <w:jc w:val="both"/>
      </w:pPr>
      <w:r>
        <w:t xml:space="preserve">There exists another option which would be suited for legacy devices </w:t>
      </w:r>
      <w:proofErr w:type="gramStart"/>
      <w:r>
        <w:t>and also</w:t>
      </w:r>
      <w:proofErr w:type="gramEnd"/>
      <w:r>
        <w:t xml:space="preserve"> would allow the network to make full use of the available 40MHz spectrum. </w:t>
      </w:r>
      <w:r w:rsidR="00D36103">
        <w:t>Due to the dual duplexer approach the</w:t>
      </w:r>
      <w:r>
        <w:t xml:space="preserve"> UE can either transmit and receive on the lower part of the channel which is 30MHz wide or it could transmit and receive on the upper part of the channel which is 10MHz wide</w:t>
      </w:r>
      <w:r w:rsidR="00E56CA7">
        <w:t xml:space="preserve"> in China</w:t>
      </w:r>
      <w:r>
        <w:t xml:space="preserve">. Instead of using a 40MHz channel on the network side the </w:t>
      </w:r>
      <w:proofErr w:type="spellStart"/>
      <w:r>
        <w:t>gNB</w:t>
      </w:r>
      <w:proofErr w:type="spellEnd"/>
      <w:r>
        <w:t xml:space="preserve"> could internally use a CA like configuration of 30MHz channel for the lower side and a 10MHz channel for the upper side. The 30MHz and 10MHz channel would </w:t>
      </w:r>
      <w:r w:rsidR="008A6A89">
        <w:t>align to</w:t>
      </w:r>
      <w:r>
        <w:t xml:space="preserve"> </w:t>
      </w:r>
      <w:r w:rsidR="009625DC">
        <w:t>the specified 100kHz</w:t>
      </w:r>
      <w:r>
        <w:t xml:space="preserve"> carrier frequency </w:t>
      </w:r>
      <w:r w:rsidR="009625DC">
        <w:t>grid</w:t>
      </w:r>
      <w:r w:rsidR="00BB0298">
        <w:t>. The network would either assign the 30MHz channel or the 10 MHz channel to a UE.</w:t>
      </w:r>
      <w:r w:rsidR="00E56CA7">
        <w:t xml:space="preserve"> On the UE side it would only observe that it is configure</w:t>
      </w:r>
      <w:r w:rsidR="00233326">
        <w:t>d</w:t>
      </w:r>
      <w:r w:rsidR="00E56CA7">
        <w:t xml:space="preserve"> to 30MHz channel or to a 10MHz channel.</w:t>
      </w:r>
      <w:r w:rsidR="00BB0298">
        <w:t xml:space="preserve"> </w:t>
      </w:r>
      <w:r w:rsidR="00BB0298">
        <w:lastRenderedPageBreak/>
        <w:t>This</w:t>
      </w:r>
      <w:r w:rsidR="009625DC">
        <w:t xml:space="preserve"> would allow all UEs (new and legacy) to access the network</w:t>
      </w:r>
      <w:r w:rsidR="00BB0298">
        <w:t xml:space="preserve"> and would require no changes to the specification.</w:t>
      </w:r>
      <w:r w:rsidR="00E56CA7">
        <w:t xml:space="preserve"> This option would be highly backward compatible and achieves the goals of full spectrum usage without the loss of any UL or DL RB.</w:t>
      </w:r>
    </w:p>
    <w:p w14:paraId="2FC130C8" w14:textId="07DE995C" w:rsidR="00E8331E" w:rsidRPr="00AF7B02" w:rsidRDefault="00645C1B" w:rsidP="00F95315">
      <w:pPr>
        <w:jc w:val="both"/>
      </w:pPr>
      <w:r w:rsidRPr="00171D7F">
        <w:rPr>
          <w:b/>
          <w:bCs/>
        </w:rPr>
        <w:t>Proposal</w:t>
      </w:r>
      <w:r w:rsidR="00171D7F">
        <w:rPr>
          <w:b/>
          <w:bCs/>
        </w:rPr>
        <w:t xml:space="preserve"> 2</w:t>
      </w:r>
      <w:r>
        <w:t xml:space="preserve">: Consider a </w:t>
      </w:r>
      <w:proofErr w:type="spellStart"/>
      <w:r>
        <w:t>gNB</w:t>
      </w:r>
      <w:proofErr w:type="spellEnd"/>
      <w:r>
        <w:t xml:space="preserve"> which use</w:t>
      </w:r>
      <w:r w:rsidR="008A6A89">
        <w:t>s</w:t>
      </w:r>
      <w:r>
        <w:t xml:space="preserve"> a CA like configuration of 30MHz channel for the lower side and a 10MHz channel for the upper side. The 30MHz and 10MHz channel would </w:t>
      </w:r>
      <w:r w:rsidR="008A6A89">
        <w:t>align to</w:t>
      </w:r>
      <w:r>
        <w:t xml:space="preserve"> the specified 100kHz carrier frequency grid. The network would either assign the 30MHz channel or the 10 MHz channel to a UE. On the UE side it would only observe that it is configure</w:t>
      </w:r>
      <w:r w:rsidR="00233326">
        <w:t>d</w:t>
      </w:r>
      <w:r>
        <w:t xml:space="preserve"> to 30MHz channel or to a 10MHz channel.</w:t>
      </w: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0EB02411" w14:textId="0A73318E" w:rsidR="001F55DF" w:rsidRDefault="00EF0C9A" w:rsidP="00245595">
      <w:pPr>
        <w:pStyle w:val="Heading6"/>
        <w:ind w:left="0" w:firstLine="0"/>
        <w:jc w:val="both"/>
        <w:rPr>
          <w:rFonts w:ascii="Times New Roman" w:hAnsi="Times New Roman"/>
          <w:lang w:val="en-US"/>
        </w:rPr>
      </w:pPr>
      <w:r w:rsidRPr="00EF0C9A">
        <w:rPr>
          <w:rFonts w:ascii="Times New Roman" w:hAnsi="Times New Roman"/>
          <w:lang w:val="en-US"/>
        </w:rPr>
        <w:t xml:space="preserve">During RAN4#103-e it was discussed on how to introduce </w:t>
      </w:r>
      <w:proofErr w:type="spellStart"/>
      <w:r w:rsidRPr="00EF0C9A">
        <w:rPr>
          <w:rFonts w:ascii="Times New Roman" w:hAnsi="Times New Roman"/>
          <w:lang w:val="en-US"/>
        </w:rPr>
        <w:t>gNB</w:t>
      </w:r>
      <w:proofErr w:type="spellEnd"/>
      <w:r w:rsidRPr="00EF0C9A">
        <w:rPr>
          <w:rFonts w:ascii="Times New Roman" w:hAnsi="Times New Roman"/>
          <w:lang w:val="en-US"/>
        </w:rPr>
        <w:t xml:space="preserve"> using 40MHz CBW for band n28 as the available spectrum is 703-743MHz for UL and 758-798MHz for DL in China. </w:t>
      </w:r>
      <w:r>
        <w:rPr>
          <w:rFonts w:ascii="Times New Roman" w:hAnsi="Times New Roman"/>
          <w:lang w:val="en-US"/>
        </w:rPr>
        <w:t xml:space="preserve">This contribution discusses the topic and makes the following observations and </w:t>
      </w:r>
      <w:r w:rsidR="00682EE7">
        <w:rPr>
          <w:rFonts w:ascii="Times New Roman" w:hAnsi="Times New Roman"/>
          <w:lang w:val="en-US"/>
        </w:rPr>
        <w:t>proposal</w:t>
      </w:r>
      <w:r>
        <w:rPr>
          <w:rFonts w:ascii="Times New Roman" w:hAnsi="Times New Roman"/>
          <w:lang w:val="en-US"/>
        </w:rPr>
        <w:t>s</w:t>
      </w:r>
      <w:r w:rsidR="00682EE7">
        <w:rPr>
          <w:rFonts w:ascii="Times New Roman" w:hAnsi="Times New Roman"/>
          <w:lang w:val="en-US"/>
        </w:rPr>
        <w:t>:</w:t>
      </w:r>
    </w:p>
    <w:p w14:paraId="2531E867" w14:textId="56D0A3FD" w:rsidR="00EF0C9A" w:rsidRPr="00EF0C9A" w:rsidRDefault="00EF0C9A" w:rsidP="00EF0C9A">
      <w:pPr>
        <w:jc w:val="both"/>
      </w:pPr>
      <w:r w:rsidRPr="00DF5329">
        <w:rPr>
          <w:b/>
          <w:bCs/>
        </w:rPr>
        <w:t>Observation 1:</w:t>
      </w:r>
      <w:r>
        <w:t xml:space="preserve"> The adopted solution should be suited for legacy devices as those cannot be updated.</w:t>
      </w:r>
    </w:p>
    <w:p w14:paraId="0F7B6F76" w14:textId="4B6E055D" w:rsidR="00EF0C9A" w:rsidRPr="00EF0C9A" w:rsidRDefault="00EF0C9A" w:rsidP="00EF0C9A">
      <w:pPr>
        <w:jc w:val="both"/>
      </w:pPr>
      <w:r w:rsidRPr="00FC0EF5">
        <w:rPr>
          <w:b/>
          <w:bCs/>
        </w:rPr>
        <w:t>Observation</w:t>
      </w:r>
      <w:r>
        <w:rPr>
          <w:b/>
          <w:bCs/>
        </w:rPr>
        <w:t xml:space="preserve"> 2</w:t>
      </w:r>
      <w:r w:rsidRPr="00FC0EF5">
        <w:rPr>
          <w:b/>
          <w:bCs/>
        </w:rPr>
        <w:t>:</w:t>
      </w:r>
      <w:r>
        <w:t xml:space="preserve"> UEs which are assigned with 1RB (180kHz) carrier shift might consider this to be an error and drop the link as it is not matching the specified grid. Furthermore, any UE using simplified carrier frequency calculation suited for 100kHz channel raster grid might falsely configure its carrier to 100kHz or 200kHz shift negatively affecting link performance or causing link loss. It might be easier to shift BS carrier frequency instead of UE carrier frequency as it should not have impact on the multitude of legacy devices. </w:t>
      </w:r>
    </w:p>
    <w:p w14:paraId="6F9695DB" w14:textId="77777777" w:rsidR="00D9665D" w:rsidRDefault="00D9665D" w:rsidP="00D9665D">
      <w:pPr>
        <w:jc w:val="both"/>
        <w:rPr>
          <w:lang w:val="en-US"/>
        </w:rPr>
      </w:pPr>
      <w:r w:rsidRPr="00E5314D">
        <w:rPr>
          <w:b/>
          <w:bCs/>
          <w:lang w:val="en-US"/>
        </w:rPr>
        <w:t>Observation 3:</w:t>
      </w:r>
      <w:r>
        <w:rPr>
          <w:lang w:val="en-US"/>
        </w:rPr>
        <w:t xml:space="preserve"> A UE is designed to fit a 30MHz CBW into the dual duplexer range with respect to the expected carrier frequency so that it can compensate the distortions created by the filter flanks. If the UE carrier frequency is shifted by +100kHz or +180kHz then the upper RB might experience increased phase distortion from the filter ripple and attenuation from the falling filter flank. The total distortions could negatively affect UL and DL performance. If such a scenario would be tested, then this could lead to a compliant UE failing the test requirements.</w:t>
      </w:r>
    </w:p>
    <w:p w14:paraId="7EFFEC04" w14:textId="77777777" w:rsidR="00D9665D" w:rsidRDefault="00D9665D" w:rsidP="00D9665D">
      <w:pPr>
        <w:jc w:val="both"/>
        <w:rPr>
          <w:lang w:val="en-US"/>
        </w:rPr>
      </w:pPr>
      <w:r w:rsidRPr="006A692B">
        <w:rPr>
          <w:b/>
          <w:bCs/>
          <w:lang w:val="en-US"/>
        </w:rPr>
        <w:t>Observation 4:</w:t>
      </w:r>
      <w:r>
        <w:rPr>
          <w:b/>
          <w:bCs/>
          <w:lang w:val="en-US"/>
        </w:rPr>
        <w:t xml:space="preserve"> </w:t>
      </w:r>
      <w:r w:rsidRPr="003C44D9">
        <w:rPr>
          <w:lang w:val="en-US"/>
        </w:rPr>
        <w:t>There should not be a need for a 40MHz UE due to the nature of band 28.</w:t>
      </w:r>
      <w:r>
        <w:rPr>
          <w:lang w:val="en-US"/>
        </w:rPr>
        <w:t xml:space="preserve"> Even if future UEs would support 40MHz channel the carrier misalignment with channel raster should not be an issue as the BS misalignment could be explicitly handled while defining the requirements in a later release.</w:t>
      </w:r>
    </w:p>
    <w:p w14:paraId="3B0E403A" w14:textId="77777777" w:rsidR="00D9665D" w:rsidRDefault="00D9665D" w:rsidP="00D9665D">
      <w:pPr>
        <w:jc w:val="both"/>
      </w:pPr>
      <w:r w:rsidRPr="00FC0EF5">
        <w:rPr>
          <w:b/>
          <w:bCs/>
        </w:rPr>
        <w:t>Proposal</w:t>
      </w:r>
      <w:r>
        <w:rPr>
          <w:b/>
          <w:bCs/>
        </w:rPr>
        <w:t xml:space="preserve"> 1</w:t>
      </w:r>
      <w:r w:rsidRPr="00FC0EF5">
        <w:rPr>
          <w:b/>
          <w:bCs/>
        </w:rPr>
        <w:t>:</w:t>
      </w:r>
      <w:r>
        <w:rPr>
          <w:b/>
          <w:bCs/>
        </w:rPr>
        <w:t xml:space="preserve"> </w:t>
      </w:r>
      <w:r w:rsidRPr="00E5314D">
        <w:t>Do not agree on tentative agreement</w:t>
      </w:r>
      <w:r>
        <w:t xml:space="preserve">. Instead </w:t>
      </w:r>
      <w:r w:rsidRPr="00E5314D">
        <w:t xml:space="preserve">adapt </w:t>
      </w:r>
      <w:r>
        <w:t>a solution which aligns the RBs of the 40MHz channel with the RB locations of the 30MHz channel (</w:t>
      </w:r>
      <w:proofErr w:type="gramStart"/>
      <w:r>
        <w:t>e.g.</w:t>
      </w:r>
      <w:proofErr w:type="gramEnd"/>
      <w:r>
        <w:t xml:space="preserve"> solution 3). This means that the 40MHz BS carrier frequency is shifted by +40kHz to achieve same guard band as defined for 30MHz channel. Dependent on BS emission performance all RBs can be used for UL/DL or the uppermost DL RB might not be scheduled. Such a solution enables the operators to achieve the necessary improvements on their side and might be the easiest solution to accommodate legacy devices. </w:t>
      </w:r>
    </w:p>
    <w:p w14:paraId="6125349F" w14:textId="45237ED5" w:rsidR="00CC6193" w:rsidRPr="00603B52" w:rsidRDefault="00CC6193" w:rsidP="00603B52">
      <w:pPr>
        <w:jc w:val="both"/>
      </w:pPr>
      <w:r w:rsidRPr="00171D7F">
        <w:rPr>
          <w:b/>
          <w:bCs/>
        </w:rPr>
        <w:t>Proposal</w:t>
      </w:r>
      <w:r>
        <w:rPr>
          <w:b/>
          <w:bCs/>
        </w:rPr>
        <w:t xml:space="preserve"> 2</w:t>
      </w:r>
      <w:r>
        <w:t xml:space="preserve">: Consider a </w:t>
      </w:r>
      <w:proofErr w:type="spellStart"/>
      <w:r>
        <w:t>gNB</w:t>
      </w:r>
      <w:proofErr w:type="spellEnd"/>
      <w:r>
        <w:t xml:space="preserve"> which uses a CA like configuration of 30MHz channel for the lower side and a 10MHz channel for the upper side. The 30MHz and 10MHz channel would align to the specified 100kHz carrier frequency grid. The network would either assign the 30MHz channel or the 10 MHz channel to a UE. On the UE side it would only observe that it is configure</w:t>
      </w:r>
      <w:r w:rsidR="00DC51CC">
        <w:t>d</w:t>
      </w:r>
      <w:r>
        <w:t xml:space="preserve"> to 30MHz channel or to a 10MHz channel.</w:t>
      </w:r>
    </w:p>
    <w:p w14:paraId="311629DC" w14:textId="77777777" w:rsidR="001B0535" w:rsidRPr="001B0535" w:rsidRDefault="001B0535" w:rsidP="001B0535">
      <w:pPr>
        <w:spacing w:after="60"/>
        <w:rPr>
          <w:lang w:val="en-US"/>
        </w:rPr>
      </w:pP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32E78384" w14:textId="6243CB35" w:rsidR="00B15983" w:rsidRDefault="00767E3C" w:rsidP="00F853CF">
      <w:pPr>
        <w:numPr>
          <w:ilvl w:val="0"/>
          <w:numId w:val="11"/>
        </w:numPr>
        <w:rPr>
          <w:bCs/>
          <w:lang w:val="en-US"/>
        </w:rPr>
      </w:pPr>
      <w:r w:rsidRPr="00767E3C">
        <w:rPr>
          <w:bCs/>
          <w:lang w:val="en-US"/>
        </w:rPr>
        <w:t>R4-2210540</w:t>
      </w:r>
      <w:r w:rsidR="00F2693A" w:rsidRPr="00767E3C">
        <w:rPr>
          <w:bCs/>
          <w:lang w:val="en-US"/>
        </w:rPr>
        <w:t>, “</w:t>
      </w:r>
      <w:r w:rsidRPr="00767E3C">
        <w:rPr>
          <w:bCs/>
          <w:lang w:val="en-US"/>
        </w:rPr>
        <w:t>WF on 30MHz reconfiguration failure when accessing 40MHz network of n28</w:t>
      </w:r>
      <w:r w:rsidR="00F2693A" w:rsidRPr="00767E3C">
        <w:rPr>
          <w:bCs/>
          <w:lang w:val="en-US"/>
        </w:rPr>
        <w:t xml:space="preserve">”, </w:t>
      </w:r>
      <w:r w:rsidRPr="00767E3C">
        <w:rPr>
          <w:bCs/>
          <w:lang w:val="en-US"/>
        </w:rPr>
        <w:t>CMCC</w:t>
      </w:r>
      <w:r w:rsidR="00F2693A" w:rsidRPr="00767E3C">
        <w:rPr>
          <w:bCs/>
          <w:lang w:val="en-US"/>
        </w:rPr>
        <w:t xml:space="preserve">, </w:t>
      </w:r>
      <w:r w:rsidRPr="00767E3C">
        <w:rPr>
          <w:bCs/>
          <w:lang w:val="en-US"/>
        </w:rPr>
        <w:t>3GPP TSG-RAN WG4 Meeting #103-e</w:t>
      </w:r>
    </w:p>
    <w:p w14:paraId="5DD79422" w14:textId="7DB75611" w:rsidR="00AB7136" w:rsidRPr="00767E3C" w:rsidRDefault="00AB7136" w:rsidP="00F853CF">
      <w:pPr>
        <w:numPr>
          <w:ilvl w:val="0"/>
          <w:numId w:val="11"/>
        </w:numPr>
        <w:rPr>
          <w:bCs/>
          <w:lang w:val="en-US"/>
        </w:rPr>
      </w:pPr>
      <w:r w:rsidRPr="00AB7136">
        <w:rPr>
          <w:bCs/>
          <w:lang w:val="en-US"/>
        </w:rPr>
        <w:t>R4-2208401</w:t>
      </w:r>
      <w:r>
        <w:rPr>
          <w:bCs/>
          <w:lang w:val="en-US"/>
        </w:rPr>
        <w:t>, “</w:t>
      </w:r>
      <w:r w:rsidRPr="00AB7136">
        <w:rPr>
          <w:bCs/>
          <w:lang w:val="en-US"/>
        </w:rPr>
        <w:t>Discussion on 30MHz reconfiguration failure when accessing 40MHz network of n28</w:t>
      </w:r>
      <w:r>
        <w:rPr>
          <w:bCs/>
          <w:lang w:val="en-US"/>
        </w:rPr>
        <w:t xml:space="preserve">”, CMCC, </w:t>
      </w:r>
      <w:r w:rsidRPr="00AB7136">
        <w:rPr>
          <w:bCs/>
          <w:lang w:val="en-US"/>
        </w:rPr>
        <w:t>3GPP TSG-RAN WG4 Meeting # 103-e</w:t>
      </w:r>
      <w:r w:rsidRPr="00AB7136">
        <w:rPr>
          <w:bCs/>
          <w:lang w:val="en-US"/>
        </w:rPr>
        <w:tab/>
      </w:r>
    </w:p>
    <w:sectPr w:rsidR="00AB7136" w:rsidRPr="00767E3C"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B43F2" w14:textId="77777777" w:rsidR="003C51BD" w:rsidRDefault="003C51BD">
      <w:r>
        <w:separator/>
      </w:r>
    </w:p>
  </w:endnote>
  <w:endnote w:type="continuationSeparator" w:id="0">
    <w:p w14:paraId="5A8C1BC7" w14:textId="77777777" w:rsidR="003C51BD" w:rsidRDefault="003C5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339DC" w14:textId="77777777" w:rsidR="003C51BD" w:rsidRDefault="003C51BD">
      <w:r>
        <w:separator/>
      </w:r>
    </w:p>
  </w:footnote>
  <w:footnote w:type="continuationSeparator" w:id="0">
    <w:p w14:paraId="11C1B444" w14:textId="77777777" w:rsidR="003C51BD" w:rsidRDefault="003C5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4F5493"/>
    <w:multiLevelType w:val="hybridMultilevel"/>
    <w:tmpl w:val="7C4E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8C80A9D"/>
    <w:multiLevelType w:val="hybridMultilevel"/>
    <w:tmpl w:val="94146D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1"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2" w15:restartNumberingAfterBreak="0">
    <w:nsid w:val="518C3DF0"/>
    <w:multiLevelType w:val="hybridMultilevel"/>
    <w:tmpl w:val="476A2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140CD3"/>
    <w:multiLevelType w:val="hybridMultilevel"/>
    <w:tmpl w:val="7FA2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8"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0426F8"/>
    <w:multiLevelType w:val="hybridMultilevel"/>
    <w:tmpl w:val="43E66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80918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8540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249796">
    <w:abstractNumId w:val="1"/>
  </w:num>
  <w:num w:numId="4" w16cid:durableId="170412846">
    <w:abstractNumId w:val="16"/>
  </w:num>
  <w:num w:numId="5" w16cid:durableId="822232100">
    <w:abstractNumId w:val="2"/>
  </w:num>
  <w:num w:numId="6" w16cid:durableId="1166478587">
    <w:abstractNumId w:val="2"/>
  </w:num>
  <w:num w:numId="7" w16cid:durableId="771509028">
    <w:abstractNumId w:val="9"/>
  </w:num>
  <w:num w:numId="8" w16cid:durableId="1014962053">
    <w:abstractNumId w:val="5"/>
  </w:num>
  <w:num w:numId="9" w16cid:durableId="1950819101">
    <w:abstractNumId w:val="3"/>
  </w:num>
  <w:num w:numId="10" w16cid:durableId="1940675662">
    <w:abstractNumId w:val="7"/>
  </w:num>
  <w:num w:numId="11" w16cid:durableId="469248212">
    <w:abstractNumId w:val="15"/>
  </w:num>
  <w:num w:numId="12" w16cid:durableId="448595682">
    <w:abstractNumId w:val="18"/>
  </w:num>
  <w:num w:numId="13" w16cid:durableId="1975283607">
    <w:abstractNumId w:val="11"/>
  </w:num>
  <w:num w:numId="14" w16cid:durableId="1619675689">
    <w:abstractNumId w:val="13"/>
  </w:num>
  <w:num w:numId="15" w16cid:durableId="89275192">
    <w:abstractNumId w:val="4"/>
  </w:num>
  <w:num w:numId="16" w16cid:durableId="875695431">
    <w:abstractNumId w:val="17"/>
  </w:num>
  <w:num w:numId="17" w16cid:durableId="76103104">
    <w:abstractNumId w:val="12"/>
  </w:num>
  <w:num w:numId="18" w16cid:durableId="1350836680">
    <w:abstractNumId w:val="10"/>
  </w:num>
  <w:num w:numId="19" w16cid:durableId="1518419501">
    <w:abstractNumId w:val="19"/>
  </w:num>
  <w:num w:numId="20" w16cid:durableId="248347997">
    <w:abstractNumId w:val="8"/>
  </w:num>
  <w:num w:numId="21" w16cid:durableId="124586388">
    <w:abstractNumId w:val="6"/>
  </w:num>
  <w:num w:numId="22" w16cid:durableId="14979180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23FF"/>
    <w:rsid w:val="00002DEA"/>
    <w:rsid w:val="000036A6"/>
    <w:rsid w:val="00005DCE"/>
    <w:rsid w:val="000111D2"/>
    <w:rsid w:val="000114C9"/>
    <w:rsid w:val="0001187A"/>
    <w:rsid w:val="000132C5"/>
    <w:rsid w:val="00014EB2"/>
    <w:rsid w:val="00017915"/>
    <w:rsid w:val="00022E3E"/>
    <w:rsid w:val="0002432C"/>
    <w:rsid w:val="00024449"/>
    <w:rsid w:val="000250BB"/>
    <w:rsid w:val="00027AC6"/>
    <w:rsid w:val="00030C2C"/>
    <w:rsid w:val="0003200D"/>
    <w:rsid w:val="000326B0"/>
    <w:rsid w:val="00033397"/>
    <w:rsid w:val="00033776"/>
    <w:rsid w:val="0003447A"/>
    <w:rsid w:val="00035909"/>
    <w:rsid w:val="00035BDF"/>
    <w:rsid w:val="0003660B"/>
    <w:rsid w:val="00036F6A"/>
    <w:rsid w:val="0003726B"/>
    <w:rsid w:val="00037CC5"/>
    <w:rsid w:val="00040095"/>
    <w:rsid w:val="00040A7C"/>
    <w:rsid w:val="00042474"/>
    <w:rsid w:val="000430B7"/>
    <w:rsid w:val="0004358A"/>
    <w:rsid w:val="000442AB"/>
    <w:rsid w:val="00044D56"/>
    <w:rsid w:val="00046342"/>
    <w:rsid w:val="00051834"/>
    <w:rsid w:val="00052794"/>
    <w:rsid w:val="0005328A"/>
    <w:rsid w:val="00053ADC"/>
    <w:rsid w:val="00054A22"/>
    <w:rsid w:val="00054E52"/>
    <w:rsid w:val="00056C93"/>
    <w:rsid w:val="00061661"/>
    <w:rsid w:val="00061E71"/>
    <w:rsid w:val="00062023"/>
    <w:rsid w:val="00062366"/>
    <w:rsid w:val="00063179"/>
    <w:rsid w:val="00063B53"/>
    <w:rsid w:val="00064AC2"/>
    <w:rsid w:val="000655A6"/>
    <w:rsid w:val="0006747A"/>
    <w:rsid w:val="000714B9"/>
    <w:rsid w:val="000716B4"/>
    <w:rsid w:val="000721B0"/>
    <w:rsid w:val="0007284F"/>
    <w:rsid w:val="00072B00"/>
    <w:rsid w:val="00073CFC"/>
    <w:rsid w:val="00073D3F"/>
    <w:rsid w:val="00073FE8"/>
    <w:rsid w:val="00075F87"/>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6C65"/>
    <w:rsid w:val="00096D62"/>
    <w:rsid w:val="0009774F"/>
    <w:rsid w:val="000A036A"/>
    <w:rsid w:val="000A0609"/>
    <w:rsid w:val="000A0ABD"/>
    <w:rsid w:val="000A365D"/>
    <w:rsid w:val="000A444B"/>
    <w:rsid w:val="000A530C"/>
    <w:rsid w:val="000A580B"/>
    <w:rsid w:val="000A625B"/>
    <w:rsid w:val="000A68F3"/>
    <w:rsid w:val="000A7687"/>
    <w:rsid w:val="000B3C23"/>
    <w:rsid w:val="000B4421"/>
    <w:rsid w:val="000B4E56"/>
    <w:rsid w:val="000B5C4E"/>
    <w:rsid w:val="000B5DA3"/>
    <w:rsid w:val="000C034B"/>
    <w:rsid w:val="000C1826"/>
    <w:rsid w:val="000C2025"/>
    <w:rsid w:val="000C47C3"/>
    <w:rsid w:val="000C74B0"/>
    <w:rsid w:val="000C77E7"/>
    <w:rsid w:val="000D0160"/>
    <w:rsid w:val="000D03C1"/>
    <w:rsid w:val="000D285C"/>
    <w:rsid w:val="000D2BDD"/>
    <w:rsid w:val="000D2E76"/>
    <w:rsid w:val="000D58AB"/>
    <w:rsid w:val="000D6DAB"/>
    <w:rsid w:val="000D6EE8"/>
    <w:rsid w:val="000D6EF5"/>
    <w:rsid w:val="000E0223"/>
    <w:rsid w:val="000E1F49"/>
    <w:rsid w:val="000E2A25"/>
    <w:rsid w:val="000E46A4"/>
    <w:rsid w:val="000E5A4C"/>
    <w:rsid w:val="000F0311"/>
    <w:rsid w:val="000F3036"/>
    <w:rsid w:val="000F3654"/>
    <w:rsid w:val="000F5901"/>
    <w:rsid w:val="00101094"/>
    <w:rsid w:val="001014EA"/>
    <w:rsid w:val="00101CD8"/>
    <w:rsid w:val="001032BC"/>
    <w:rsid w:val="00104BC6"/>
    <w:rsid w:val="00104D53"/>
    <w:rsid w:val="001064E7"/>
    <w:rsid w:val="0010739B"/>
    <w:rsid w:val="0010756C"/>
    <w:rsid w:val="0011088B"/>
    <w:rsid w:val="00110D46"/>
    <w:rsid w:val="0011169A"/>
    <w:rsid w:val="00114E2C"/>
    <w:rsid w:val="00115059"/>
    <w:rsid w:val="00115129"/>
    <w:rsid w:val="00116E0D"/>
    <w:rsid w:val="001230EC"/>
    <w:rsid w:val="00126CA6"/>
    <w:rsid w:val="00131163"/>
    <w:rsid w:val="001314C7"/>
    <w:rsid w:val="001316D7"/>
    <w:rsid w:val="00131BA3"/>
    <w:rsid w:val="00133525"/>
    <w:rsid w:val="00140641"/>
    <w:rsid w:val="00141DDF"/>
    <w:rsid w:val="00144FEC"/>
    <w:rsid w:val="00145518"/>
    <w:rsid w:val="0014598F"/>
    <w:rsid w:val="00146F6E"/>
    <w:rsid w:val="001514B8"/>
    <w:rsid w:val="00153B77"/>
    <w:rsid w:val="0015405E"/>
    <w:rsid w:val="00155597"/>
    <w:rsid w:val="00155BD8"/>
    <w:rsid w:val="00156509"/>
    <w:rsid w:val="0015767B"/>
    <w:rsid w:val="00160C2A"/>
    <w:rsid w:val="001614E1"/>
    <w:rsid w:val="00161A9C"/>
    <w:rsid w:val="00162F93"/>
    <w:rsid w:val="0016378A"/>
    <w:rsid w:val="00163A89"/>
    <w:rsid w:val="00163A9B"/>
    <w:rsid w:val="00164651"/>
    <w:rsid w:val="00164CCE"/>
    <w:rsid w:val="00165910"/>
    <w:rsid w:val="0016634F"/>
    <w:rsid w:val="0016708D"/>
    <w:rsid w:val="00167274"/>
    <w:rsid w:val="00171194"/>
    <w:rsid w:val="00171497"/>
    <w:rsid w:val="00171B5B"/>
    <w:rsid w:val="00171D7F"/>
    <w:rsid w:val="00173B76"/>
    <w:rsid w:val="00173E53"/>
    <w:rsid w:val="001765DB"/>
    <w:rsid w:val="00176C55"/>
    <w:rsid w:val="00177347"/>
    <w:rsid w:val="00177BF7"/>
    <w:rsid w:val="0018295B"/>
    <w:rsid w:val="00183737"/>
    <w:rsid w:val="0018535B"/>
    <w:rsid w:val="001868A4"/>
    <w:rsid w:val="001875B9"/>
    <w:rsid w:val="00192DE7"/>
    <w:rsid w:val="00193FD4"/>
    <w:rsid w:val="001940D3"/>
    <w:rsid w:val="001941CA"/>
    <w:rsid w:val="00194533"/>
    <w:rsid w:val="00194F3B"/>
    <w:rsid w:val="00195224"/>
    <w:rsid w:val="001A0256"/>
    <w:rsid w:val="001A0787"/>
    <w:rsid w:val="001A0988"/>
    <w:rsid w:val="001A2096"/>
    <w:rsid w:val="001A4943"/>
    <w:rsid w:val="001A4C42"/>
    <w:rsid w:val="001A4E68"/>
    <w:rsid w:val="001A6573"/>
    <w:rsid w:val="001A6CC6"/>
    <w:rsid w:val="001B0535"/>
    <w:rsid w:val="001B39C0"/>
    <w:rsid w:val="001B46AA"/>
    <w:rsid w:val="001B5788"/>
    <w:rsid w:val="001B6EAE"/>
    <w:rsid w:val="001B7048"/>
    <w:rsid w:val="001C071F"/>
    <w:rsid w:val="001C1220"/>
    <w:rsid w:val="001C21C3"/>
    <w:rsid w:val="001C2FEA"/>
    <w:rsid w:val="001C302E"/>
    <w:rsid w:val="001C54B3"/>
    <w:rsid w:val="001C5C96"/>
    <w:rsid w:val="001C66AA"/>
    <w:rsid w:val="001D02C2"/>
    <w:rsid w:val="001D03D7"/>
    <w:rsid w:val="001D04A1"/>
    <w:rsid w:val="001D13F5"/>
    <w:rsid w:val="001D1A91"/>
    <w:rsid w:val="001D1F9D"/>
    <w:rsid w:val="001D26C7"/>
    <w:rsid w:val="001D5E72"/>
    <w:rsid w:val="001D7C1E"/>
    <w:rsid w:val="001D7DBE"/>
    <w:rsid w:val="001E2F65"/>
    <w:rsid w:val="001E674C"/>
    <w:rsid w:val="001E67AD"/>
    <w:rsid w:val="001F0012"/>
    <w:rsid w:val="001F04F9"/>
    <w:rsid w:val="001F0C1D"/>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06FF5"/>
    <w:rsid w:val="0021106A"/>
    <w:rsid w:val="002124DC"/>
    <w:rsid w:val="002139CD"/>
    <w:rsid w:val="0021540E"/>
    <w:rsid w:val="00215A11"/>
    <w:rsid w:val="00216C99"/>
    <w:rsid w:val="00217C8C"/>
    <w:rsid w:val="002206B8"/>
    <w:rsid w:val="002221BA"/>
    <w:rsid w:val="00222473"/>
    <w:rsid w:val="00232AB1"/>
    <w:rsid w:val="00233326"/>
    <w:rsid w:val="00233B64"/>
    <w:rsid w:val="002347A2"/>
    <w:rsid w:val="00234C52"/>
    <w:rsid w:val="00234DD8"/>
    <w:rsid w:val="002351F2"/>
    <w:rsid w:val="00241D43"/>
    <w:rsid w:val="00245595"/>
    <w:rsid w:val="00245EC7"/>
    <w:rsid w:val="00246D97"/>
    <w:rsid w:val="00247277"/>
    <w:rsid w:val="00247926"/>
    <w:rsid w:val="00251005"/>
    <w:rsid w:val="00251DA6"/>
    <w:rsid w:val="0025270B"/>
    <w:rsid w:val="00255AE8"/>
    <w:rsid w:val="00255B0B"/>
    <w:rsid w:val="00255F72"/>
    <w:rsid w:val="00261CC0"/>
    <w:rsid w:val="0026539A"/>
    <w:rsid w:val="00265BAA"/>
    <w:rsid w:val="00266B46"/>
    <w:rsid w:val="002675F0"/>
    <w:rsid w:val="002711F3"/>
    <w:rsid w:val="00273FF7"/>
    <w:rsid w:val="00274D2E"/>
    <w:rsid w:val="002753CE"/>
    <w:rsid w:val="002758FC"/>
    <w:rsid w:val="00275C59"/>
    <w:rsid w:val="00276EE4"/>
    <w:rsid w:val="0027749C"/>
    <w:rsid w:val="00277DB2"/>
    <w:rsid w:val="00280E10"/>
    <w:rsid w:val="00280FE7"/>
    <w:rsid w:val="00281E7C"/>
    <w:rsid w:val="00282984"/>
    <w:rsid w:val="00282B12"/>
    <w:rsid w:val="002840E5"/>
    <w:rsid w:val="00284572"/>
    <w:rsid w:val="0028457E"/>
    <w:rsid w:val="00284928"/>
    <w:rsid w:val="00285078"/>
    <w:rsid w:val="002854B1"/>
    <w:rsid w:val="00286329"/>
    <w:rsid w:val="002866ED"/>
    <w:rsid w:val="00287B01"/>
    <w:rsid w:val="0029054B"/>
    <w:rsid w:val="002907FD"/>
    <w:rsid w:val="00291B7B"/>
    <w:rsid w:val="00291D59"/>
    <w:rsid w:val="00293798"/>
    <w:rsid w:val="00294126"/>
    <w:rsid w:val="00294D34"/>
    <w:rsid w:val="00294DCD"/>
    <w:rsid w:val="00297222"/>
    <w:rsid w:val="002A50DA"/>
    <w:rsid w:val="002A603C"/>
    <w:rsid w:val="002A769C"/>
    <w:rsid w:val="002A79F8"/>
    <w:rsid w:val="002A7A2F"/>
    <w:rsid w:val="002A7E93"/>
    <w:rsid w:val="002B1D7E"/>
    <w:rsid w:val="002B252A"/>
    <w:rsid w:val="002B6339"/>
    <w:rsid w:val="002B6DF9"/>
    <w:rsid w:val="002B70E5"/>
    <w:rsid w:val="002C0C4F"/>
    <w:rsid w:val="002C2F95"/>
    <w:rsid w:val="002C4604"/>
    <w:rsid w:val="002C4C0C"/>
    <w:rsid w:val="002C6A2D"/>
    <w:rsid w:val="002C6B80"/>
    <w:rsid w:val="002C7B3F"/>
    <w:rsid w:val="002D0940"/>
    <w:rsid w:val="002D1D3F"/>
    <w:rsid w:val="002D1E25"/>
    <w:rsid w:val="002D2E22"/>
    <w:rsid w:val="002D3BC5"/>
    <w:rsid w:val="002D4428"/>
    <w:rsid w:val="002D4678"/>
    <w:rsid w:val="002D5BCC"/>
    <w:rsid w:val="002D6F6F"/>
    <w:rsid w:val="002E00EE"/>
    <w:rsid w:val="002E07CC"/>
    <w:rsid w:val="002E210D"/>
    <w:rsid w:val="002E277A"/>
    <w:rsid w:val="002E36CF"/>
    <w:rsid w:val="002E389B"/>
    <w:rsid w:val="002E403F"/>
    <w:rsid w:val="002E4080"/>
    <w:rsid w:val="002E5CF2"/>
    <w:rsid w:val="002E7F40"/>
    <w:rsid w:val="002F0900"/>
    <w:rsid w:val="002F3960"/>
    <w:rsid w:val="002F3F4C"/>
    <w:rsid w:val="002F4052"/>
    <w:rsid w:val="002F45A5"/>
    <w:rsid w:val="002F6571"/>
    <w:rsid w:val="002F6F2B"/>
    <w:rsid w:val="002F7647"/>
    <w:rsid w:val="00302805"/>
    <w:rsid w:val="00305920"/>
    <w:rsid w:val="003061E9"/>
    <w:rsid w:val="003070DF"/>
    <w:rsid w:val="00307152"/>
    <w:rsid w:val="003102F2"/>
    <w:rsid w:val="00310E58"/>
    <w:rsid w:val="00311230"/>
    <w:rsid w:val="0031268C"/>
    <w:rsid w:val="00312E65"/>
    <w:rsid w:val="003132F5"/>
    <w:rsid w:val="00313D73"/>
    <w:rsid w:val="003149B9"/>
    <w:rsid w:val="00314EDE"/>
    <w:rsid w:val="00315011"/>
    <w:rsid w:val="003172DC"/>
    <w:rsid w:val="003175F0"/>
    <w:rsid w:val="00317D99"/>
    <w:rsid w:val="00322717"/>
    <w:rsid w:val="003228F5"/>
    <w:rsid w:val="00322C1C"/>
    <w:rsid w:val="00323B17"/>
    <w:rsid w:val="00324FAE"/>
    <w:rsid w:val="003255A0"/>
    <w:rsid w:val="003266B5"/>
    <w:rsid w:val="00326C69"/>
    <w:rsid w:val="0033027C"/>
    <w:rsid w:val="00331C00"/>
    <w:rsid w:val="00331D8F"/>
    <w:rsid w:val="00332C66"/>
    <w:rsid w:val="003343B9"/>
    <w:rsid w:val="00335709"/>
    <w:rsid w:val="003378AE"/>
    <w:rsid w:val="00340356"/>
    <w:rsid w:val="0034052F"/>
    <w:rsid w:val="00340838"/>
    <w:rsid w:val="00341CC5"/>
    <w:rsid w:val="0034305A"/>
    <w:rsid w:val="00343A0D"/>
    <w:rsid w:val="00343ECF"/>
    <w:rsid w:val="0034417E"/>
    <w:rsid w:val="00344939"/>
    <w:rsid w:val="00344FFE"/>
    <w:rsid w:val="0034584C"/>
    <w:rsid w:val="00345DDF"/>
    <w:rsid w:val="00345FF6"/>
    <w:rsid w:val="003473BA"/>
    <w:rsid w:val="0034751F"/>
    <w:rsid w:val="00347CE0"/>
    <w:rsid w:val="0035025E"/>
    <w:rsid w:val="00350942"/>
    <w:rsid w:val="00352E82"/>
    <w:rsid w:val="00353AD5"/>
    <w:rsid w:val="0035462D"/>
    <w:rsid w:val="00354868"/>
    <w:rsid w:val="00355AAB"/>
    <w:rsid w:val="00357A83"/>
    <w:rsid w:val="00357CEC"/>
    <w:rsid w:val="00360AA9"/>
    <w:rsid w:val="00361696"/>
    <w:rsid w:val="003640D5"/>
    <w:rsid w:val="0036481F"/>
    <w:rsid w:val="00366EFA"/>
    <w:rsid w:val="00371382"/>
    <w:rsid w:val="00371AF5"/>
    <w:rsid w:val="00372638"/>
    <w:rsid w:val="00373345"/>
    <w:rsid w:val="00373592"/>
    <w:rsid w:val="0037554F"/>
    <w:rsid w:val="00375555"/>
    <w:rsid w:val="0037610B"/>
    <w:rsid w:val="003765B8"/>
    <w:rsid w:val="003765C2"/>
    <w:rsid w:val="00377199"/>
    <w:rsid w:val="00380718"/>
    <w:rsid w:val="00381601"/>
    <w:rsid w:val="003819B3"/>
    <w:rsid w:val="003823AC"/>
    <w:rsid w:val="00383106"/>
    <w:rsid w:val="0038340B"/>
    <w:rsid w:val="00383BAA"/>
    <w:rsid w:val="00384260"/>
    <w:rsid w:val="0038687C"/>
    <w:rsid w:val="00387858"/>
    <w:rsid w:val="003879EA"/>
    <w:rsid w:val="00391760"/>
    <w:rsid w:val="00391C5D"/>
    <w:rsid w:val="00391CB5"/>
    <w:rsid w:val="003920DF"/>
    <w:rsid w:val="00396919"/>
    <w:rsid w:val="003A0483"/>
    <w:rsid w:val="003A07B8"/>
    <w:rsid w:val="003A086F"/>
    <w:rsid w:val="003A2E7E"/>
    <w:rsid w:val="003A3481"/>
    <w:rsid w:val="003A35A8"/>
    <w:rsid w:val="003A4404"/>
    <w:rsid w:val="003A4A28"/>
    <w:rsid w:val="003A4E42"/>
    <w:rsid w:val="003A5390"/>
    <w:rsid w:val="003A5B1B"/>
    <w:rsid w:val="003A5FE3"/>
    <w:rsid w:val="003B076D"/>
    <w:rsid w:val="003B0D81"/>
    <w:rsid w:val="003B208F"/>
    <w:rsid w:val="003B2FED"/>
    <w:rsid w:val="003B3719"/>
    <w:rsid w:val="003B4936"/>
    <w:rsid w:val="003B4A2F"/>
    <w:rsid w:val="003B5BAD"/>
    <w:rsid w:val="003B6271"/>
    <w:rsid w:val="003B6566"/>
    <w:rsid w:val="003B7075"/>
    <w:rsid w:val="003B75B4"/>
    <w:rsid w:val="003C01C7"/>
    <w:rsid w:val="003C0C07"/>
    <w:rsid w:val="003C12B6"/>
    <w:rsid w:val="003C198E"/>
    <w:rsid w:val="003C3971"/>
    <w:rsid w:val="003C44D9"/>
    <w:rsid w:val="003C458E"/>
    <w:rsid w:val="003C51BD"/>
    <w:rsid w:val="003C7B9C"/>
    <w:rsid w:val="003D0C71"/>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5B1D"/>
    <w:rsid w:val="003E64D1"/>
    <w:rsid w:val="003E7753"/>
    <w:rsid w:val="003E7E59"/>
    <w:rsid w:val="003F019F"/>
    <w:rsid w:val="003F0947"/>
    <w:rsid w:val="003F1853"/>
    <w:rsid w:val="003F1D5B"/>
    <w:rsid w:val="003F4CC8"/>
    <w:rsid w:val="003F4D44"/>
    <w:rsid w:val="003F6264"/>
    <w:rsid w:val="004001B4"/>
    <w:rsid w:val="00400FB7"/>
    <w:rsid w:val="00403DDB"/>
    <w:rsid w:val="00403EE3"/>
    <w:rsid w:val="00404014"/>
    <w:rsid w:val="004040C3"/>
    <w:rsid w:val="00404708"/>
    <w:rsid w:val="004050EA"/>
    <w:rsid w:val="004059B2"/>
    <w:rsid w:val="0040629F"/>
    <w:rsid w:val="00406750"/>
    <w:rsid w:val="00406E67"/>
    <w:rsid w:val="004074C0"/>
    <w:rsid w:val="00410053"/>
    <w:rsid w:val="004100A2"/>
    <w:rsid w:val="004116EB"/>
    <w:rsid w:val="00413DC0"/>
    <w:rsid w:val="00414F61"/>
    <w:rsid w:val="0041699A"/>
    <w:rsid w:val="00420742"/>
    <w:rsid w:val="00421682"/>
    <w:rsid w:val="00423334"/>
    <w:rsid w:val="0042418E"/>
    <w:rsid w:val="00424206"/>
    <w:rsid w:val="00424339"/>
    <w:rsid w:val="00424791"/>
    <w:rsid w:val="0043171B"/>
    <w:rsid w:val="004318CB"/>
    <w:rsid w:val="00432379"/>
    <w:rsid w:val="00433797"/>
    <w:rsid w:val="00434540"/>
    <w:rsid w:val="004345EC"/>
    <w:rsid w:val="00434E69"/>
    <w:rsid w:val="0043541E"/>
    <w:rsid w:val="0043690E"/>
    <w:rsid w:val="00436B3D"/>
    <w:rsid w:val="004412F3"/>
    <w:rsid w:val="00441D71"/>
    <w:rsid w:val="004424EE"/>
    <w:rsid w:val="004424F4"/>
    <w:rsid w:val="00443070"/>
    <w:rsid w:val="00443B1F"/>
    <w:rsid w:val="00444B82"/>
    <w:rsid w:val="00445ED0"/>
    <w:rsid w:val="00447429"/>
    <w:rsid w:val="004509C1"/>
    <w:rsid w:val="00450B2E"/>
    <w:rsid w:val="00451091"/>
    <w:rsid w:val="0045165B"/>
    <w:rsid w:val="00452727"/>
    <w:rsid w:val="00455715"/>
    <w:rsid w:val="00456CF5"/>
    <w:rsid w:val="00456D2C"/>
    <w:rsid w:val="00457141"/>
    <w:rsid w:val="00460045"/>
    <w:rsid w:val="004605B0"/>
    <w:rsid w:val="004634D0"/>
    <w:rsid w:val="004640F5"/>
    <w:rsid w:val="00465B61"/>
    <w:rsid w:val="00467FFC"/>
    <w:rsid w:val="00470270"/>
    <w:rsid w:val="0047076F"/>
    <w:rsid w:val="00471049"/>
    <w:rsid w:val="0047139B"/>
    <w:rsid w:val="00471735"/>
    <w:rsid w:val="00471DAE"/>
    <w:rsid w:val="00472499"/>
    <w:rsid w:val="00475923"/>
    <w:rsid w:val="004769BD"/>
    <w:rsid w:val="00477FCB"/>
    <w:rsid w:val="00481264"/>
    <w:rsid w:val="004826A9"/>
    <w:rsid w:val="00482AD8"/>
    <w:rsid w:val="004837BD"/>
    <w:rsid w:val="00483C8B"/>
    <w:rsid w:val="00484657"/>
    <w:rsid w:val="00484DEE"/>
    <w:rsid w:val="00485D56"/>
    <w:rsid w:val="00485FF7"/>
    <w:rsid w:val="00487194"/>
    <w:rsid w:val="0048761C"/>
    <w:rsid w:val="00492B0C"/>
    <w:rsid w:val="00492D20"/>
    <w:rsid w:val="00494571"/>
    <w:rsid w:val="00495AE6"/>
    <w:rsid w:val="00496011"/>
    <w:rsid w:val="00496ACE"/>
    <w:rsid w:val="00496C45"/>
    <w:rsid w:val="00496F4C"/>
    <w:rsid w:val="004A009B"/>
    <w:rsid w:val="004A22C7"/>
    <w:rsid w:val="004A33F5"/>
    <w:rsid w:val="004A3B47"/>
    <w:rsid w:val="004A3FB0"/>
    <w:rsid w:val="004A67E0"/>
    <w:rsid w:val="004B1311"/>
    <w:rsid w:val="004B2839"/>
    <w:rsid w:val="004B2E91"/>
    <w:rsid w:val="004B3610"/>
    <w:rsid w:val="004B3DF9"/>
    <w:rsid w:val="004B40A3"/>
    <w:rsid w:val="004B6798"/>
    <w:rsid w:val="004B7258"/>
    <w:rsid w:val="004B7AF5"/>
    <w:rsid w:val="004C1601"/>
    <w:rsid w:val="004C1B4D"/>
    <w:rsid w:val="004C2495"/>
    <w:rsid w:val="004C29E1"/>
    <w:rsid w:val="004C3099"/>
    <w:rsid w:val="004C3AF8"/>
    <w:rsid w:val="004C5414"/>
    <w:rsid w:val="004C5BBF"/>
    <w:rsid w:val="004C5BDF"/>
    <w:rsid w:val="004C6E30"/>
    <w:rsid w:val="004C790A"/>
    <w:rsid w:val="004C799B"/>
    <w:rsid w:val="004C7B37"/>
    <w:rsid w:val="004C7CDB"/>
    <w:rsid w:val="004D3578"/>
    <w:rsid w:val="004D3827"/>
    <w:rsid w:val="004D4338"/>
    <w:rsid w:val="004D6678"/>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4F7454"/>
    <w:rsid w:val="00500038"/>
    <w:rsid w:val="00500407"/>
    <w:rsid w:val="005017D8"/>
    <w:rsid w:val="00502961"/>
    <w:rsid w:val="0050313F"/>
    <w:rsid w:val="005048DF"/>
    <w:rsid w:val="005069FD"/>
    <w:rsid w:val="00507DA2"/>
    <w:rsid w:val="00511227"/>
    <w:rsid w:val="005117A5"/>
    <w:rsid w:val="00512BB3"/>
    <w:rsid w:val="00513FA9"/>
    <w:rsid w:val="005145E4"/>
    <w:rsid w:val="0051539E"/>
    <w:rsid w:val="00516EA3"/>
    <w:rsid w:val="00520CF3"/>
    <w:rsid w:val="005228BF"/>
    <w:rsid w:val="0052340E"/>
    <w:rsid w:val="00525D6C"/>
    <w:rsid w:val="00531474"/>
    <w:rsid w:val="00531FD7"/>
    <w:rsid w:val="005323BD"/>
    <w:rsid w:val="0053388B"/>
    <w:rsid w:val="005345D1"/>
    <w:rsid w:val="00535773"/>
    <w:rsid w:val="00537255"/>
    <w:rsid w:val="005377A4"/>
    <w:rsid w:val="0053790B"/>
    <w:rsid w:val="00537BFA"/>
    <w:rsid w:val="0054128D"/>
    <w:rsid w:val="00542337"/>
    <w:rsid w:val="005435B5"/>
    <w:rsid w:val="00543E6C"/>
    <w:rsid w:val="005455F7"/>
    <w:rsid w:val="00545860"/>
    <w:rsid w:val="00546DF1"/>
    <w:rsid w:val="005513D3"/>
    <w:rsid w:val="00552DD8"/>
    <w:rsid w:val="00553947"/>
    <w:rsid w:val="00554605"/>
    <w:rsid w:val="00554E84"/>
    <w:rsid w:val="00554FE1"/>
    <w:rsid w:val="00555723"/>
    <w:rsid w:val="00560943"/>
    <w:rsid w:val="00563D8A"/>
    <w:rsid w:val="00564C22"/>
    <w:rsid w:val="00565087"/>
    <w:rsid w:val="0056547E"/>
    <w:rsid w:val="00565AAF"/>
    <w:rsid w:val="00565F3D"/>
    <w:rsid w:val="005664C0"/>
    <w:rsid w:val="00566F0F"/>
    <w:rsid w:val="00570ED1"/>
    <w:rsid w:val="0057261C"/>
    <w:rsid w:val="0057290E"/>
    <w:rsid w:val="00572E14"/>
    <w:rsid w:val="005742A4"/>
    <w:rsid w:val="005743C8"/>
    <w:rsid w:val="0057554C"/>
    <w:rsid w:val="00576755"/>
    <w:rsid w:val="00577EDD"/>
    <w:rsid w:val="00577FB6"/>
    <w:rsid w:val="00580C3D"/>
    <w:rsid w:val="005810E1"/>
    <w:rsid w:val="00582852"/>
    <w:rsid w:val="00582C3B"/>
    <w:rsid w:val="005837C8"/>
    <w:rsid w:val="005855BF"/>
    <w:rsid w:val="00585D6D"/>
    <w:rsid w:val="00585E08"/>
    <w:rsid w:val="00586161"/>
    <w:rsid w:val="005861FD"/>
    <w:rsid w:val="005862CD"/>
    <w:rsid w:val="00587041"/>
    <w:rsid w:val="00587D12"/>
    <w:rsid w:val="00590380"/>
    <w:rsid w:val="005922F3"/>
    <w:rsid w:val="00593CAE"/>
    <w:rsid w:val="0059436B"/>
    <w:rsid w:val="005966DE"/>
    <w:rsid w:val="005973BE"/>
    <w:rsid w:val="005A063B"/>
    <w:rsid w:val="005A231D"/>
    <w:rsid w:val="005A4164"/>
    <w:rsid w:val="005A43C5"/>
    <w:rsid w:val="005A5986"/>
    <w:rsid w:val="005A5D1C"/>
    <w:rsid w:val="005B0DCA"/>
    <w:rsid w:val="005B1111"/>
    <w:rsid w:val="005B18A8"/>
    <w:rsid w:val="005B1FF5"/>
    <w:rsid w:val="005B294B"/>
    <w:rsid w:val="005B2FAD"/>
    <w:rsid w:val="005B3074"/>
    <w:rsid w:val="005B34C7"/>
    <w:rsid w:val="005B3913"/>
    <w:rsid w:val="005C07DC"/>
    <w:rsid w:val="005C3C55"/>
    <w:rsid w:val="005C5712"/>
    <w:rsid w:val="005C5EAF"/>
    <w:rsid w:val="005C626D"/>
    <w:rsid w:val="005C65C5"/>
    <w:rsid w:val="005C68F0"/>
    <w:rsid w:val="005C6D3B"/>
    <w:rsid w:val="005C6DEC"/>
    <w:rsid w:val="005C7AB1"/>
    <w:rsid w:val="005D0294"/>
    <w:rsid w:val="005D0667"/>
    <w:rsid w:val="005D1B39"/>
    <w:rsid w:val="005D2E01"/>
    <w:rsid w:val="005D32A3"/>
    <w:rsid w:val="005D4815"/>
    <w:rsid w:val="005D5AE3"/>
    <w:rsid w:val="005D5FE0"/>
    <w:rsid w:val="005D6E3E"/>
    <w:rsid w:val="005D7526"/>
    <w:rsid w:val="005E0188"/>
    <w:rsid w:val="005E1B49"/>
    <w:rsid w:val="005E21F8"/>
    <w:rsid w:val="005E40C8"/>
    <w:rsid w:val="005E4D0C"/>
    <w:rsid w:val="005E69AE"/>
    <w:rsid w:val="005E6C7E"/>
    <w:rsid w:val="005E7850"/>
    <w:rsid w:val="005F0D93"/>
    <w:rsid w:val="005F2084"/>
    <w:rsid w:val="005F24FB"/>
    <w:rsid w:val="005F2795"/>
    <w:rsid w:val="005F3AB5"/>
    <w:rsid w:val="005F4A06"/>
    <w:rsid w:val="005F5250"/>
    <w:rsid w:val="005F62ED"/>
    <w:rsid w:val="005F6366"/>
    <w:rsid w:val="005F64D0"/>
    <w:rsid w:val="005F6F36"/>
    <w:rsid w:val="006002E3"/>
    <w:rsid w:val="006008B9"/>
    <w:rsid w:val="00601D80"/>
    <w:rsid w:val="00602582"/>
    <w:rsid w:val="00602AEA"/>
    <w:rsid w:val="00603331"/>
    <w:rsid w:val="00603B52"/>
    <w:rsid w:val="006078BE"/>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9C6"/>
    <w:rsid w:val="0063543D"/>
    <w:rsid w:val="00635754"/>
    <w:rsid w:val="00635BAA"/>
    <w:rsid w:val="00636527"/>
    <w:rsid w:val="00636B11"/>
    <w:rsid w:val="00636CCC"/>
    <w:rsid w:val="00637267"/>
    <w:rsid w:val="00637FE4"/>
    <w:rsid w:val="00640FF6"/>
    <w:rsid w:val="006432CB"/>
    <w:rsid w:val="00645891"/>
    <w:rsid w:val="00645C1B"/>
    <w:rsid w:val="00646355"/>
    <w:rsid w:val="00646A2F"/>
    <w:rsid w:val="00646C49"/>
    <w:rsid w:val="00647114"/>
    <w:rsid w:val="00647DB5"/>
    <w:rsid w:val="0065057E"/>
    <w:rsid w:val="0065271E"/>
    <w:rsid w:val="006534B6"/>
    <w:rsid w:val="00653CB4"/>
    <w:rsid w:val="0065577E"/>
    <w:rsid w:val="006600BB"/>
    <w:rsid w:val="00660C7B"/>
    <w:rsid w:val="00660F30"/>
    <w:rsid w:val="0066115B"/>
    <w:rsid w:val="00661381"/>
    <w:rsid w:val="0066246B"/>
    <w:rsid w:val="00665ED8"/>
    <w:rsid w:val="00670259"/>
    <w:rsid w:val="00671396"/>
    <w:rsid w:val="00671F14"/>
    <w:rsid w:val="006730CB"/>
    <w:rsid w:val="0067392E"/>
    <w:rsid w:val="00675958"/>
    <w:rsid w:val="0067679B"/>
    <w:rsid w:val="00677B76"/>
    <w:rsid w:val="0068031C"/>
    <w:rsid w:val="0068130A"/>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9795B"/>
    <w:rsid w:val="006A020F"/>
    <w:rsid w:val="006A0481"/>
    <w:rsid w:val="006A0B79"/>
    <w:rsid w:val="006A323F"/>
    <w:rsid w:val="006A3E12"/>
    <w:rsid w:val="006A4689"/>
    <w:rsid w:val="006A4A76"/>
    <w:rsid w:val="006A594E"/>
    <w:rsid w:val="006A692B"/>
    <w:rsid w:val="006B20B7"/>
    <w:rsid w:val="006B30D0"/>
    <w:rsid w:val="006B3435"/>
    <w:rsid w:val="006B4574"/>
    <w:rsid w:val="006B4F97"/>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1D51"/>
    <w:rsid w:val="006D1D8B"/>
    <w:rsid w:val="006D2201"/>
    <w:rsid w:val="006D3DD3"/>
    <w:rsid w:val="006D7098"/>
    <w:rsid w:val="006D77D7"/>
    <w:rsid w:val="006D7C64"/>
    <w:rsid w:val="006E1889"/>
    <w:rsid w:val="006E439A"/>
    <w:rsid w:val="006E4E1E"/>
    <w:rsid w:val="006E5023"/>
    <w:rsid w:val="006E5C86"/>
    <w:rsid w:val="006E6191"/>
    <w:rsid w:val="006E7AE4"/>
    <w:rsid w:val="006F1270"/>
    <w:rsid w:val="006F1FC9"/>
    <w:rsid w:val="006F35FD"/>
    <w:rsid w:val="006F37B1"/>
    <w:rsid w:val="006F3DC0"/>
    <w:rsid w:val="006F7692"/>
    <w:rsid w:val="006F7CE5"/>
    <w:rsid w:val="00701A2E"/>
    <w:rsid w:val="007060C5"/>
    <w:rsid w:val="00710BDD"/>
    <w:rsid w:val="0071147F"/>
    <w:rsid w:val="00713C44"/>
    <w:rsid w:val="007144EC"/>
    <w:rsid w:val="0071576F"/>
    <w:rsid w:val="007160DB"/>
    <w:rsid w:val="00716EF6"/>
    <w:rsid w:val="00717676"/>
    <w:rsid w:val="007176E9"/>
    <w:rsid w:val="007207C9"/>
    <w:rsid w:val="007218D4"/>
    <w:rsid w:val="00723101"/>
    <w:rsid w:val="007237B7"/>
    <w:rsid w:val="00724089"/>
    <w:rsid w:val="0072437F"/>
    <w:rsid w:val="007248C0"/>
    <w:rsid w:val="00726205"/>
    <w:rsid w:val="007263B4"/>
    <w:rsid w:val="007266E4"/>
    <w:rsid w:val="00730E94"/>
    <w:rsid w:val="00730EBB"/>
    <w:rsid w:val="00730ED4"/>
    <w:rsid w:val="007320C6"/>
    <w:rsid w:val="007321BC"/>
    <w:rsid w:val="00732A01"/>
    <w:rsid w:val="00732B5C"/>
    <w:rsid w:val="00734A5B"/>
    <w:rsid w:val="007368B0"/>
    <w:rsid w:val="00736D2D"/>
    <w:rsid w:val="0074026F"/>
    <w:rsid w:val="00740932"/>
    <w:rsid w:val="007429F6"/>
    <w:rsid w:val="00744E76"/>
    <w:rsid w:val="0074525F"/>
    <w:rsid w:val="00745E1F"/>
    <w:rsid w:val="00747260"/>
    <w:rsid w:val="00751029"/>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A27"/>
    <w:rsid w:val="00760B53"/>
    <w:rsid w:val="00760E37"/>
    <w:rsid w:val="00760FD3"/>
    <w:rsid w:val="00761D68"/>
    <w:rsid w:val="00762CB5"/>
    <w:rsid w:val="00763486"/>
    <w:rsid w:val="00763F11"/>
    <w:rsid w:val="00765707"/>
    <w:rsid w:val="00765B8E"/>
    <w:rsid w:val="007660BB"/>
    <w:rsid w:val="00766A38"/>
    <w:rsid w:val="00766B0A"/>
    <w:rsid w:val="00767E3C"/>
    <w:rsid w:val="00771457"/>
    <w:rsid w:val="00772039"/>
    <w:rsid w:val="007728FC"/>
    <w:rsid w:val="007733E2"/>
    <w:rsid w:val="00773953"/>
    <w:rsid w:val="00774DA4"/>
    <w:rsid w:val="00775AC9"/>
    <w:rsid w:val="00776151"/>
    <w:rsid w:val="007771B2"/>
    <w:rsid w:val="00781C03"/>
    <w:rsid w:val="00781F0F"/>
    <w:rsid w:val="00782A98"/>
    <w:rsid w:val="00782C14"/>
    <w:rsid w:val="007841DA"/>
    <w:rsid w:val="007843ED"/>
    <w:rsid w:val="00785BA3"/>
    <w:rsid w:val="00785FDB"/>
    <w:rsid w:val="00787E52"/>
    <w:rsid w:val="007903CF"/>
    <w:rsid w:val="00790EC5"/>
    <w:rsid w:val="0079137B"/>
    <w:rsid w:val="00792B95"/>
    <w:rsid w:val="00792C7A"/>
    <w:rsid w:val="007941A3"/>
    <w:rsid w:val="007942AC"/>
    <w:rsid w:val="00794EB8"/>
    <w:rsid w:val="00795EF5"/>
    <w:rsid w:val="00795FA7"/>
    <w:rsid w:val="0079785A"/>
    <w:rsid w:val="007A00D5"/>
    <w:rsid w:val="007A0E1D"/>
    <w:rsid w:val="007A198D"/>
    <w:rsid w:val="007A2793"/>
    <w:rsid w:val="007A348D"/>
    <w:rsid w:val="007A489F"/>
    <w:rsid w:val="007A48C3"/>
    <w:rsid w:val="007A491F"/>
    <w:rsid w:val="007B49A3"/>
    <w:rsid w:val="007B55EF"/>
    <w:rsid w:val="007B57F7"/>
    <w:rsid w:val="007B5E6C"/>
    <w:rsid w:val="007B600E"/>
    <w:rsid w:val="007B6E94"/>
    <w:rsid w:val="007B7408"/>
    <w:rsid w:val="007C03C8"/>
    <w:rsid w:val="007C0FF9"/>
    <w:rsid w:val="007C15B3"/>
    <w:rsid w:val="007C1969"/>
    <w:rsid w:val="007C2409"/>
    <w:rsid w:val="007C26E7"/>
    <w:rsid w:val="007C3D0F"/>
    <w:rsid w:val="007C3F8E"/>
    <w:rsid w:val="007C54DB"/>
    <w:rsid w:val="007C5B26"/>
    <w:rsid w:val="007C640C"/>
    <w:rsid w:val="007C7952"/>
    <w:rsid w:val="007D0028"/>
    <w:rsid w:val="007D0102"/>
    <w:rsid w:val="007D104B"/>
    <w:rsid w:val="007D1EB8"/>
    <w:rsid w:val="007D2967"/>
    <w:rsid w:val="007D2A49"/>
    <w:rsid w:val="007D79D4"/>
    <w:rsid w:val="007E0B4E"/>
    <w:rsid w:val="007E3B2F"/>
    <w:rsid w:val="007E4750"/>
    <w:rsid w:val="007E5C55"/>
    <w:rsid w:val="007E6170"/>
    <w:rsid w:val="007E7746"/>
    <w:rsid w:val="007F076F"/>
    <w:rsid w:val="007F0856"/>
    <w:rsid w:val="007F0F4A"/>
    <w:rsid w:val="007F176A"/>
    <w:rsid w:val="007F18BA"/>
    <w:rsid w:val="007F26A6"/>
    <w:rsid w:val="007F3A2A"/>
    <w:rsid w:val="007F3EBE"/>
    <w:rsid w:val="007F449E"/>
    <w:rsid w:val="007F646D"/>
    <w:rsid w:val="0080095D"/>
    <w:rsid w:val="008028A4"/>
    <w:rsid w:val="00802FA0"/>
    <w:rsid w:val="008036A8"/>
    <w:rsid w:val="008044C2"/>
    <w:rsid w:val="0080473C"/>
    <w:rsid w:val="0080488F"/>
    <w:rsid w:val="008051AC"/>
    <w:rsid w:val="00805D2E"/>
    <w:rsid w:val="008077D0"/>
    <w:rsid w:val="00810C81"/>
    <w:rsid w:val="00811D3B"/>
    <w:rsid w:val="00812481"/>
    <w:rsid w:val="008130D9"/>
    <w:rsid w:val="008172FB"/>
    <w:rsid w:val="0081735D"/>
    <w:rsid w:val="00820B25"/>
    <w:rsid w:val="00822406"/>
    <w:rsid w:val="00823651"/>
    <w:rsid w:val="00824F90"/>
    <w:rsid w:val="00825333"/>
    <w:rsid w:val="00826BED"/>
    <w:rsid w:val="00826D83"/>
    <w:rsid w:val="00827DC7"/>
    <w:rsid w:val="00830747"/>
    <w:rsid w:val="00831814"/>
    <w:rsid w:val="0083484D"/>
    <w:rsid w:val="00834C99"/>
    <w:rsid w:val="0083535C"/>
    <w:rsid w:val="0083542B"/>
    <w:rsid w:val="00835E07"/>
    <w:rsid w:val="00836588"/>
    <w:rsid w:val="00837219"/>
    <w:rsid w:val="0083737D"/>
    <w:rsid w:val="00837F4C"/>
    <w:rsid w:val="00837FDF"/>
    <w:rsid w:val="00841B46"/>
    <w:rsid w:val="00841CB2"/>
    <w:rsid w:val="00841DCF"/>
    <w:rsid w:val="008431EA"/>
    <w:rsid w:val="00843617"/>
    <w:rsid w:val="00846AB4"/>
    <w:rsid w:val="00850ABD"/>
    <w:rsid w:val="00850B98"/>
    <w:rsid w:val="00851C96"/>
    <w:rsid w:val="00851F91"/>
    <w:rsid w:val="0085228F"/>
    <w:rsid w:val="00856098"/>
    <w:rsid w:val="00857177"/>
    <w:rsid w:val="00860D81"/>
    <w:rsid w:val="00861AD4"/>
    <w:rsid w:val="00861FB2"/>
    <w:rsid w:val="00864223"/>
    <w:rsid w:val="0086500E"/>
    <w:rsid w:val="0086586C"/>
    <w:rsid w:val="008661ED"/>
    <w:rsid w:val="00866762"/>
    <w:rsid w:val="00870180"/>
    <w:rsid w:val="008724BE"/>
    <w:rsid w:val="008725D2"/>
    <w:rsid w:val="0087548F"/>
    <w:rsid w:val="008768CA"/>
    <w:rsid w:val="00876946"/>
    <w:rsid w:val="00877887"/>
    <w:rsid w:val="00877CF1"/>
    <w:rsid w:val="0088151F"/>
    <w:rsid w:val="00882E3E"/>
    <w:rsid w:val="00883816"/>
    <w:rsid w:val="00884825"/>
    <w:rsid w:val="00884956"/>
    <w:rsid w:val="00891185"/>
    <w:rsid w:val="00891647"/>
    <w:rsid w:val="00891659"/>
    <w:rsid w:val="00891AEE"/>
    <w:rsid w:val="00892B17"/>
    <w:rsid w:val="00895E89"/>
    <w:rsid w:val="00896A38"/>
    <w:rsid w:val="008972A6"/>
    <w:rsid w:val="008974F7"/>
    <w:rsid w:val="008A093A"/>
    <w:rsid w:val="008A41C3"/>
    <w:rsid w:val="008A4747"/>
    <w:rsid w:val="008A4D26"/>
    <w:rsid w:val="008A542D"/>
    <w:rsid w:val="008A67D3"/>
    <w:rsid w:val="008A6A89"/>
    <w:rsid w:val="008A6E42"/>
    <w:rsid w:val="008A7036"/>
    <w:rsid w:val="008B0B97"/>
    <w:rsid w:val="008B1BC5"/>
    <w:rsid w:val="008B1C26"/>
    <w:rsid w:val="008B2A85"/>
    <w:rsid w:val="008B39B0"/>
    <w:rsid w:val="008B3F5A"/>
    <w:rsid w:val="008B5487"/>
    <w:rsid w:val="008B70EC"/>
    <w:rsid w:val="008C0003"/>
    <w:rsid w:val="008C06C2"/>
    <w:rsid w:val="008C07CB"/>
    <w:rsid w:val="008C09D0"/>
    <w:rsid w:val="008C0C12"/>
    <w:rsid w:val="008C2A97"/>
    <w:rsid w:val="008C2EA9"/>
    <w:rsid w:val="008C384C"/>
    <w:rsid w:val="008C43D4"/>
    <w:rsid w:val="008C45AE"/>
    <w:rsid w:val="008C480F"/>
    <w:rsid w:val="008C5303"/>
    <w:rsid w:val="008C5C44"/>
    <w:rsid w:val="008C65DB"/>
    <w:rsid w:val="008C730A"/>
    <w:rsid w:val="008C770E"/>
    <w:rsid w:val="008D099C"/>
    <w:rsid w:val="008D1001"/>
    <w:rsid w:val="008D3E44"/>
    <w:rsid w:val="008D4F89"/>
    <w:rsid w:val="008D5AA3"/>
    <w:rsid w:val="008D5EB1"/>
    <w:rsid w:val="008E0561"/>
    <w:rsid w:val="008E0687"/>
    <w:rsid w:val="008E17BA"/>
    <w:rsid w:val="008E20D0"/>
    <w:rsid w:val="008E20E3"/>
    <w:rsid w:val="008E3A09"/>
    <w:rsid w:val="008E4601"/>
    <w:rsid w:val="008E5517"/>
    <w:rsid w:val="008E5803"/>
    <w:rsid w:val="008E597F"/>
    <w:rsid w:val="008E76D0"/>
    <w:rsid w:val="008E7986"/>
    <w:rsid w:val="008E7F78"/>
    <w:rsid w:val="008F2044"/>
    <w:rsid w:val="008F24B8"/>
    <w:rsid w:val="008F2B3F"/>
    <w:rsid w:val="008F31BF"/>
    <w:rsid w:val="008F3269"/>
    <w:rsid w:val="008F3723"/>
    <w:rsid w:val="008F3F01"/>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169"/>
    <w:rsid w:val="0091348E"/>
    <w:rsid w:val="009138F9"/>
    <w:rsid w:val="00915229"/>
    <w:rsid w:val="009158EB"/>
    <w:rsid w:val="00917CCB"/>
    <w:rsid w:val="00920AF7"/>
    <w:rsid w:val="00920E09"/>
    <w:rsid w:val="00922D89"/>
    <w:rsid w:val="00923E2C"/>
    <w:rsid w:val="0092575C"/>
    <w:rsid w:val="009266A0"/>
    <w:rsid w:val="00926B13"/>
    <w:rsid w:val="00926F6B"/>
    <w:rsid w:val="00927E15"/>
    <w:rsid w:val="00927E95"/>
    <w:rsid w:val="00930345"/>
    <w:rsid w:val="0093178B"/>
    <w:rsid w:val="009321BF"/>
    <w:rsid w:val="00932700"/>
    <w:rsid w:val="00932A40"/>
    <w:rsid w:val="00933523"/>
    <w:rsid w:val="00933641"/>
    <w:rsid w:val="009338EA"/>
    <w:rsid w:val="00935CB9"/>
    <w:rsid w:val="009364D2"/>
    <w:rsid w:val="00936F86"/>
    <w:rsid w:val="00940D43"/>
    <w:rsid w:val="0094240E"/>
    <w:rsid w:val="009427C3"/>
    <w:rsid w:val="00942EC2"/>
    <w:rsid w:val="00944023"/>
    <w:rsid w:val="00944E16"/>
    <w:rsid w:val="00945B01"/>
    <w:rsid w:val="00947BE2"/>
    <w:rsid w:val="009516F6"/>
    <w:rsid w:val="00952BA0"/>
    <w:rsid w:val="00954533"/>
    <w:rsid w:val="00954EF4"/>
    <w:rsid w:val="0095603D"/>
    <w:rsid w:val="00956FF2"/>
    <w:rsid w:val="009572B5"/>
    <w:rsid w:val="0095737D"/>
    <w:rsid w:val="00957DE8"/>
    <w:rsid w:val="00957F31"/>
    <w:rsid w:val="00960190"/>
    <w:rsid w:val="00960911"/>
    <w:rsid w:val="00961692"/>
    <w:rsid w:val="00961A0C"/>
    <w:rsid w:val="009625DC"/>
    <w:rsid w:val="009627F0"/>
    <w:rsid w:val="009633B2"/>
    <w:rsid w:val="0096388D"/>
    <w:rsid w:val="00963AEA"/>
    <w:rsid w:val="0096404A"/>
    <w:rsid w:val="00965062"/>
    <w:rsid w:val="00965F3A"/>
    <w:rsid w:val="00967AAD"/>
    <w:rsid w:val="009711A5"/>
    <w:rsid w:val="009714C8"/>
    <w:rsid w:val="00971B55"/>
    <w:rsid w:val="00974075"/>
    <w:rsid w:val="009744B2"/>
    <w:rsid w:val="00974D53"/>
    <w:rsid w:val="009761EF"/>
    <w:rsid w:val="009772B9"/>
    <w:rsid w:val="00981C17"/>
    <w:rsid w:val="00982EE9"/>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C5C"/>
    <w:rsid w:val="009A5DB8"/>
    <w:rsid w:val="009B004A"/>
    <w:rsid w:val="009B1828"/>
    <w:rsid w:val="009B2133"/>
    <w:rsid w:val="009B37E2"/>
    <w:rsid w:val="009B3C0B"/>
    <w:rsid w:val="009B3C6C"/>
    <w:rsid w:val="009B3C80"/>
    <w:rsid w:val="009B55AC"/>
    <w:rsid w:val="009B56FF"/>
    <w:rsid w:val="009B7988"/>
    <w:rsid w:val="009C067E"/>
    <w:rsid w:val="009C2C1B"/>
    <w:rsid w:val="009C4134"/>
    <w:rsid w:val="009C5893"/>
    <w:rsid w:val="009D16C4"/>
    <w:rsid w:val="009D246A"/>
    <w:rsid w:val="009D2A05"/>
    <w:rsid w:val="009D2FFA"/>
    <w:rsid w:val="009D5714"/>
    <w:rsid w:val="009D6B92"/>
    <w:rsid w:val="009D79A8"/>
    <w:rsid w:val="009E0C85"/>
    <w:rsid w:val="009E0E33"/>
    <w:rsid w:val="009E25AD"/>
    <w:rsid w:val="009E27D5"/>
    <w:rsid w:val="009E3D80"/>
    <w:rsid w:val="009E695F"/>
    <w:rsid w:val="009E70F6"/>
    <w:rsid w:val="009E74B3"/>
    <w:rsid w:val="009E7750"/>
    <w:rsid w:val="009E7AEA"/>
    <w:rsid w:val="009E7B67"/>
    <w:rsid w:val="009F0566"/>
    <w:rsid w:val="009F1A90"/>
    <w:rsid w:val="009F37B7"/>
    <w:rsid w:val="009F426B"/>
    <w:rsid w:val="009F5E43"/>
    <w:rsid w:val="00A0013D"/>
    <w:rsid w:val="00A00770"/>
    <w:rsid w:val="00A00D3C"/>
    <w:rsid w:val="00A0272C"/>
    <w:rsid w:val="00A027BC"/>
    <w:rsid w:val="00A02CD8"/>
    <w:rsid w:val="00A10F02"/>
    <w:rsid w:val="00A126E7"/>
    <w:rsid w:val="00A13001"/>
    <w:rsid w:val="00A15BD4"/>
    <w:rsid w:val="00A164B4"/>
    <w:rsid w:val="00A1658F"/>
    <w:rsid w:val="00A200FA"/>
    <w:rsid w:val="00A2341D"/>
    <w:rsid w:val="00A2361D"/>
    <w:rsid w:val="00A24BF9"/>
    <w:rsid w:val="00A24D8C"/>
    <w:rsid w:val="00A26956"/>
    <w:rsid w:val="00A27A6C"/>
    <w:rsid w:val="00A309A6"/>
    <w:rsid w:val="00A30E83"/>
    <w:rsid w:val="00A31F00"/>
    <w:rsid w:val="00A332E5"/>
    <w:rsid w:val="00A33B26"/>
    <w:rsid w:val="00A33E6E"/>
    <w:rsid w:val="00A34D87"/>
    <w:rsid w:val="00A35A01"/>
    <w:rsid w:val="00A3624C"/>
    <w:rsid w:val="00A37CB9"/>
    <w:rsid w:val="00A410B2"/>
    <w:rsid w:val="00A45667"/>
    <w:rsid w:val="00A5176B"/>
    <w:rsid w:val="00A52FD8"/>
    <w:rsid w:val="00A5335F"/>
    <w:rsid w:val="00A53724"/>
    <w:rsid w:val="00A54016"/>
    <w:rsid w:val="00A556C1"/>
    <w:rsid w:val="00A55AC0"/>
    <w:rsid w:val="00A60200"/>
    <w:rsid w:val="00A612EB"/>
    <w:rsid w:val="00A61F0F"/>
    <w:rsid w:val="00A6272D"/>
    <w:rsid w:val="00A63335"/>
    <w:rsid w:val="00A65D22"/>
    <w:rsid w:val="00A65F37"/>
    <w:rsid w:val="00A6670A"/>
    <w:rsid w:val="00A674F2"/>
    <w:rsid w:val="00A70B96"/>
    <w:rsid w:val="00A73129"/>
    <w:rsid w:val="00A7535A"/>
    <w:rsid w:val="00A815F8"/>
    <w:rsid w:val="00A82316"/>
    <w:rsid w:val="00A82346"/>
    <w:rsid w:val="00A824E6"/>
    <w:rsid w:val="00A82E0C"/>
    <w:rsid w:val="00A83793"/>
    <w:rsid w:val="00A84761"/>
    <w:rsid w:val="00A863C0"/>
    <w:rsid w:val="00A86922"/>
    <w:rsid w:val="00A86A42"/>
    <w:rsid w:val="00A875EE"/>
    <w:rsid w:val="00A90266"/>
    <w:rsid w:val="00A90285"/>
    <w:rsid w:val="00A90AB9"/>
    <w:rsid w:val="00A91526"/>
    <w:rsid w:val="00A92BA1"/>
    <w:rsid w:val="00A95685"/>
    <w:rsid w:val="00A9596D"/>
    <w:rsid w:val="00AA0BEE"/>
    <w:rsid w:val="00AA14FB"/>
    <w:rsid w:val="00AA1E5C"/>
    <w:rsid w:val="00AA45F2"/>
    <w:rsid w:val="00AA4A4D"/>
    <w:rsid w:val="00AA660F"/>
    <w:rsid w:val="00AB011D"/>
    <w:rsid w:val="00AB03AA"/>
    <w:rsid w:val="00AB0E32"/>
    <w:rsid w:val="00AB25CB"/>
    <w:rsid w:val="00AB2D85"/>
    <w:rsid w:val="00AB322D"/>
    <w:rsid w:val="00AB3A36"/>
    <w:rsid w:val="00AB4DAD"/>
    <w:rsid w:val="00AB6DF1"/>
    <w:rsid w:val="00AB7136"/>
    <w:rsid w:val="00AB7B2B"/>
    <w:rsid w:val="00AB7E75"/>
    <w:rsid w:val="00AC1437"/>
    <w:rsid w:val="00AC1798"/>
    <w:rsid w:val="00AC1F24"/>
    <w:rsid w:val="00AC36DE"/>
    <w:rsid w:val="00AC6BC6"/>
    <w:rsid w:val="00AD0326"/>
    <w:rsid w:val="00AD2F7D"/>
    <w:rsid w:val="00AD34F2"/>
    <w:rsid w:val="00AD410F"/>
    <w:rsid w:val="00AD4326"/>
    <w:rsid w:val="00AD4B76"/>
    <w:rsid w:val="00AD4C15"/>
    <w:rsid w:val="00AD4E3B"/>
    <w:rsid w:val="00AD4FBB"/>
    <w:rsid w:val="00AD6A98"/>
    <w:rsid w:val="00AD79BC"/>
    <w:rsid w:val="00AE0062"/>
    <w:rsid w:val="00AE2CB0"/>
    <w:rsid w:val="00AE3153"/>
    <w:rsid w:val="00AE3797"/>
    <w:rsid w:val="00AE73D4"/>
    <w:rsid w:val="00AE79BB"/>
    <w:rsid w:val="00AF3C40"/>
    <w:rsid w:val="00AF447D"/>
    <w:rsid w:val="00AF4E68"/>
    <w:rsid w:val="00AF5DBD"/>
    <w:rsid w:val="00AF5FDD"/>
    <w:rsid w:val="00AF61C7"/>
    <w:rsid w:val="00AF6853"/>
    <w:rsid w:val="00AF7479"/>
    <w:rsid w:val="00AF796C"/>
    <w:rsid w:val="00AF7B02"/>
    <w:rsid w:val="00B01B3C"/>
    <w:rsid w:val="00B024AE"/>
    <w:rsid w:val="00B02C90"/>
    <w:rsid w:val="00B036C2"/>
    <w:rsid w:val="00B03D19"/>
    <w:rsid w:val="00B04114"/>
    <w:rsid w:val="00B04944"/>
    <w:rsid w:val="00B055D4"/>
    <w:rsid w:val="00B10BA3"/>
    <w:rsid w:val="00B1467A"/>
    <w:rsid w:val="00B15449"/>
    <w:rsid w:val="00B1554A"/>
    <w:rsid w:val="00B156FB"/>
    <w:rsid w:val="00B15899"/>
    <w:rsid w:val="00B15983"/>
    <w:rsid w:val="00B15E3F"/>
    <w:rsid w:val="00B16B69"/>
    <w:rsid w:val="00B16E8F"/>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DEC"/>
    <w:rsid w:val="00B44A85"/>
    <w:rsid w:val="00B4575D"/>
    <w:rsid w:val="00B4623E"/>
    <w:rsid w:val="00B46476"/>
    <w:rsid w:val="00B46673"/>
    <w:rsid w:val="00B5091E"/>
    <w:rsid w:val="00B50C2E"/>
    <w:rsid w:val="00B533A4"/>
    <w:rsid w:val="00B534E1"/>
    <w:rsid w:val="00B53E3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70013"/>
    <w:rsid w:val="00B70DA0"/>
    <w:rsid w:val="00B71790"/>
    <w:rsid w:val="00B71930"/>
    <w:rsid w:val="00B71C32"/>
    <w:rsid w:val="00B736B0"/>
    <w:rsid w:val="00B74C05"/>
    <w:rsid w:val="00B759BF"/>
    <w:rsid w:val="00B77F8A"/>
    <w:rsid w:val="00B80031"/>
    <w:rsid w:val="00B80363"/>
    <w:rsid w:val="00B809FF"/>
    <w:rsid w:val="00B84888"/>
    <w:rsid w:val="00B85152"/>
    <w:rsid w:val="00B85E86"/>
    <w:rsid w:val="00B90EE8"/>
    <w:rsid w:val="00B9159B"/>
    <w:rsid w:val="00B917D6"/>
    <w:rsid w:val="00B91A3D"/>
    <w:rsid w:val="00B91D74"/>
    <w:rsid w:val="00B92952"/>
    <w:rsid w:val="00B92E6B"/>
    <w:rsid w:val="00B93086"/>
    <w:rsid w:val="00B93937"/>
    <w:rsid w:val="00B93956"/>
    <w:rsid w:val="00B93D4D"/>
    <w:rsid w:val="00B94827"/>
    <w:rsid w:val="00B95886"/>
    <w:rsid w:val="00B9660C"/>
    <w:rsid w:val="00B97442"/>
    <w:rsid w:val="00BA19ED"/>
    <w:rsid w:val="00BA1CB2"/>
    <w:rsid w:val="00BA1F98"/>
    <w:rsid w:val="00BA300B"/>
    <w:rsid w:val="00BA4B8D"/>
    <w:rsid w:val="00BA6E50"/>
    <w:rsid w:val="00BB0298"/>
    <w:rsid w:val="00BB1F03"/>
    <w:rsid w:val="00BB34CE"/>
    <w:rsid w:val="00BB3575"/>
    <w:rsid w:val="00BB4783"/>
    <w:rsid w:val="00BB6931"/>
    <w:rsid w:val="00BB6EF4"/>
    <w:rsid w:val="00BB7F89"/>
    <w:rsid w:val="00BC0662"/>
    <w:rsid w:val="00BC0F7D"/>
    <w:rsid w:val="00BC1A3F"/>
    <w:rsid w:val="00BC1C56"/>
    <w:rsid w:val="00BC2183"/>
    <w:rsid w:val="00BC2B7D"/>
    <w:rsid w:val="00BC2F89"/>
    <w:rsid w:val="00BC3384"/>
    <w:rsid w:val="00BC371B"/>
    <w:rsid w:val="00BC3CC9"/>
    <w:rsid w:val="00BC43DA"/>
    <w:rsid w:val="00BC4B89"/>
    <w:rsid w:val="00BD0B2C"/>
    <w:rsid w:val="00BD1B60"/>
    <w:rsid w:val="00BD51AD"/>
    <w:rsid w:val="00BD5302"/>
    <w:rsid w:val="00BD58F5"/>
    <w:rsid w:val="00BD5A72"/>
    <w:rsid w:val="00BD6741"/>
    <w:rsid w:val="00BD69F8"/>
    <w:rsid w:val="00BE3255"/>
    <w:rsid w:val="00BE364B"/>
    <w:rsid w:val="00BE3A48"/>
    <w:rsid w:val="00BE4784"/>
    <w:rsid w:val="00BE654A"/>
    <w:rsid w:val="00BE6B90"/>
    <w:rsid w:val="00BF0253"/>
    <w:rsid w:val="00BF0928"/>
    <w:rsid w:val="00BF09C4"/>
    <w:rsid w:val="00BF128E"/>
    <w:rsid w:val="00BF16AD"/>
    <w:rsid w:val="00BF2201"/>
    <w:rsid w:val="00BF2E77"/>
    <w:rsid w:val="00C021C8"/>
    <w:rsid w:val="00C038A0"/>
    <w:rsid w:val="00C05098"/>
    <w:rsid w:val="00C051ED"/>
    <w:rsid w:val="00C05253"/>
    <w:rsid w:val="00C05604"/>
    <w:rsid w:val="00C05C1F"/>
    <w:rsid w:val="00C05F8C"/>
    <w:rsid w:val="00C067F8"/>
    <w:rsid w:val="00C06AE7"/>
    <w:rsid w:val="00C06F44"/>
    <w:rsid w:val="00C0775E"/>
    <w:rsid w:val="00C07DD1"/>
    <w:rsid w:val="00C13A50"/>
    <w:rsid w:val="00C14519"/>
    <w:rsid w:val="00C1493E"/>
    <w:rsid w:val="00C1496A"/>
    <w:rsid w:val="00C15F1C"/>
    <w:rsid w:val="00C1683D"/>
    <w:rsid w:val="00C20A2D"/>
    <w:rsid w:val="00C24607"/>
    <w:rsid w:val="00C272E1"/>
    <w:rsid w:val="00C2745B"/>
    <w:rsid w:val="00C274A0"/>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3289"/>
    <w:rsid w:val="00C53EF1"/>
    <w:rsid w:val="00C5443D"/>
    <w:rsid w:val="00C54945"/>
    <w:rsid w:val="00C54B9B"/>
    <w:rsid w:val="00C55A92"/>
    <w:rsid w:val="00C609E5"/>
    <w:rsid w:val="00C61D1C"/>
    <w:rsid w:val="00C61D68"/>
    <w:rsid w:val="00C633AC"/>
    <w:rsid w:val="00C66910"/>
    <w:rsid w:val="00C67FA4"/>
    <w:rsid w:val="00C704D8"/>
    <w:rsid w:val="00C70B0A"/>
    <w:rsid w:val="00C71E17"/>
    <w:rsid w:val="00C72833"/>
    <w:rsid w:val="00C72CC0"/>
    <w:rsid w:val="00C732DC"/>
    <w:rsid w:val="00C73332"/>
    <w:rsid w:val="00C77E88"/>
    <w:rsid w:val="00C80D5C"/>
    <w:rsid w:val="00C80F1D"/>
    <w:rsid w:val="00C81A25"/>
    <w:rsid w:val="00C82B2D"/>
    <w:rsid w:val="00C83D45"/>
    <w:rsid w:val="00C83DBE"/>
    <w:rsid w:val="00C84B03"/>
    <w:rsid w:val="00C857B6"/>
    <w:rsid w:val="00C91007"/>
    <w:rsid w:val="00C9176F"/>
    <w:rsid w:val="00C9191C"/>
    <w:rsid w:val="00C927A1"/>
    <w:rsid w:val="00C938FC"/>
    <w:rsid w:val="00C93E8E"/>
    <w:rsid w:val="00C93F40"/>
    <w:rsid w:val="00C9406B"/>
    <w:rsid w:val="00C956B4"/>
    <w:rsid w:val="00C95E27"/>
    <w:rsid w:val="00C962AC"/>
    <w:rsid w:val="00C965BA"/>
    <w:rsid w:val="00CA19CE"/>
    <w:rsid w:val="00CA3A2F"/>
    <w:rsid w:val="00CA3D0C"/>
    <w:rsid w:val="00CA44A8"/>
    <w:rsid w:val="00CA464A"/>
    <w:rsid w:val="00CA5E8D"/>
    <w:rsid w:val="00CA60A5"/>
    <w:rsid w:val="00CB2FE4"/>
    <w:rsid w:val="00CB3AB8"/>
    <w:rsid w:val="00CB704E"/>
    <w:rsid w:val="00CC1992"/>
    <w:rsid w:val="00CC3EE9"/>
    <w:rsid w:val="00CC49D4"/>
    <w:rsid w:val="00CC6193"/>
    <w:rsid w:val="00CC670E"/>
    <w:rsid w:val="00CD1C49"/>
    <w:rsid w:val="00CD4276"/>
    <w:rsid w:val="00CD5638"/>
    <w:rsid w:val="00CD62A6"/>
    <w:rsid w:val="00CD703D"/>
    <w:rsid w:val="00CD78CC"/>
    <w:rsid w:val="00CE116D"/>
    <w:rsid w:val="00CE196D"/>
    <w:rsid w:val="00CE2674"/>
    <w:rsid w:val="00CE61BF"/>
    <w:rsid w:val="00CE6A95"/>
    <w:rsid w:val="00CE768F"/>
    <w:rsid w:val="00CF092D"/>
    <w:rsid w:val="00CF1CAF"/>
    <w:rsid w:val="00CF20E3"/>
    <w:rsid w:val="00CF2E52"/>
    <w:rsid w:val="00CF2F3C"/>
    <w:rsid w:val="00CF497E"/>
    <w:rsid w:val="00CF6BEB"/>
    <w:rsid w:val="00CF6D1A"/>
    <w:rsid w:val="00D01EDA"/>
    <w:rsid w:val="00D04091"/>
    <w:rsid w:val="00D05790"/>
    <w:rsid w:val="00D10D66"/>
    <w:rsid w:val="00D131EC"/>
    <w:rsid w:val="00D14B99"/>
    <w:rsid w:val="00D151EB"/>
    <w:rsid w:val="00D15BBA"/>
    <w:rsid w:val="00D1629F"/>
    <w:rsid w:val="00D16891"/>
    <w:rsid w:val="00D20599"/>
    <w:rsid w:val="00D20F7C"/>
    <w:rsid w:val="00D213DE"/>
    <w:rsid w:val="00D21B18"/>
    <w:rsid w:val="00D23274"/>
    <w:rsid w:val="00D257EF"/>
    <w:rsid w:val="00D25A7E"/>
    <w:rsid w:val="00D25DC5"/>
    <w:rsid w:val="00D2657C"/>
    <w:rsid w:val="00D27704"/>
    <w:rsid w:val="00D309CC"/>
    <w:rsid w:val="00D31F7F"/>
    <w:rsid w:val="00D32260"/>
    <w:rsid w:val="00D348CD"/>
    <w:rsid w:val="00D34B02"/>
    <w:rsid w:val="00D35AF0"/>
    <w:rsid w:val="00D36090"/>
    <w:rsid w:val="00D36103"/>
    <w:rsid w:val="00D406BF"/>
    <w:rsid w:val="00D414E1"/>
    <w:rsid w:val="00D41908"/>
    <w:rsid w:val="00D44D0D"/>
    <w:rsid w:val="00D463FE"/>
    <w:rsid w:val="00D46431"/>
    <w:rsid w:val="00D464CE"/>
    <w:rsid w:val="00D468B9"/>
    <w:rsid w:val="00D46EDF"/>
    <w:rsid w:val="00D47342"/>
    <w:rsid w:val="00D478E7"/>
    <w:rsid w:val="00D53AA0"/>
    <w:rsid w:val="00D56A52"/>
    <w:rsid w:val="00D578E1"/>
    <w:rsid w:val="00D57972"/>
    <w:rsid w:val="00D6351A"/>
    <w:rsid w:val="00D656C3"/>
    <w:rsid w:val="00D65F45"/>
    <w:rsid w:val="00D675A9"/>
    <w:rsid w:val="00D67C22"/>
    <w:rsid w:val="00D7085D"/>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47CD"/>
    <w:rsid w:val="00D95890"/>
    <w:rsid w:val="00D958BB"/>
    <w:rsid w:val="00D95BF6"/>
    <w:rsid w:val="00D95CD3"/>
    <w:rsid w:val="00D96486"/>
    <w:rsid w:val="00D9665D"/>
    <w:rsid w:val="00D97D49"/>
    <w:rsid w:val="00DA023E"/>
    <w:rsid w:val="00DA1372"/>
    <w:rsid w:val="00DA1B7B"/>
    <w:rsid w:val="00DA2B74"/>
    <w:rsid w:val="00DA33A0"/>
    <w:rsid w:val="00DA51E4"/>
    <w:rsid w:val="00DA7141"/>
    <w:rsid w:val="00DA7A03"/>
    <w:rsid w:val="00DB00F0"/>
    <w:rsid w:val="00DB12EC"/>
    <w:rsid w:val="00DB1818"/>
    <w:rsid w:val="00DB2F8C"/>
    <w:rsid w:val="00DB36F5"/>
    <w:rsid w:val="00DB4E8A"/>
    <w:rsid w:val="00DB5E39"/>
    <w:rsid w:val="00DB6A8E"/>
    <w:rsid w:val="00DC309B"/>
    <w:rsid w:val="00DC4DA2"/>
    <w:rsid w:val="00DC51CC"/>
    <w:rsid w:val="00DC5B2C"/>
    <w:rsid w:val="00DC5C2C"/>
    <w:rsid w:val="00DC7F0E"/>
    <w:rsid w:val="00DD013D"/>
    <w:rsid w:val="00DD1591"/>
    <w:rsid w:val="00DD294E"/>
    <w:rsid w:val="00DD32DA"/>
    <w:rsid w:val="00DD3519"/>
    <w:rsid w:val="00DD4C17"/>
    <w:rsid w:val="00DD4E2C"/>
    <w:rsid w:val="00DD5B05"/>
    <w:rsid w:val="00DD5D25"/>
    <w:rsid w:val="00DD64B0"/>
    <w:rsid w:val="00DD6742"/>
    <w:rsid w:val="00DD72D4"/>
    <w:rsid w:val="00DD7D02"/>
    <w:rsid w:val="00DE5069"/>
    <w:rsid w:val="00DE67C8"/>
    <w:rsid w:val="00DE6B1F"/>
    <w:rsid w:val="00DE6D90"/>
    <w:rsid w:val="00DF044C"/>
    <w:rsid w:val="00DF1E14"/>
    <w:rsid w:val="00DF20B3"/>
    <w:rsid w:val="00DF2B1F"/>
    <w:rsid w:val="00DF371A"/>
    <w:rsid w:val="00DF3855"/>
    <w:rsid w:val="00DF4390"/>
    <w:rsid w:val="00DF5329"/>
    <w:rsid w:val="00DF6114"/>
    <w:rsid w:val="00DF6189"/>
    <w:rsid w:val="00DF62CD"/>
    <w:rsid w:val="00DF6345"/>
    <w:rsid w:val="00DF75D4"/>
    <w:rsid w:val="00DF79B8"/>
    <w:rsid w:val="00E0124F"/>
    <w:rsid w:val="00E022DB"/>
    <w:rsid w:val="00E033B1"/>
    <w:rsid w:val="00E03895"/>
    <w:rsid w:val="00E043B8"/>
    <w:rsid w:val="00E05A1A"/>
    <w:rsid w:val="00E06ECF"/>
    <w:rsid w:val="00E1008F"/>
    <w:rsid w:val="00E10A3A"/>
    <w:rsid w:val="00E11EC3"/>
    <w:rsid w:val="00E1233E"/>
    <w:rsid w:val="00E12762"/>
    <w:rsid w:val="00E1331A"/>
    <w:rsid w:val="00E13876"/>
    <w:rsid w:val="00E147CF"/>
    <w:rsid w:val="00E16430"/>
    <w:rsid w:val="00E16509"/>
    <w:rsid w:val="00E168E8"/>
    <w:rsid w:val="00E17D5F"/>
    <w:rsid w:val="00E2397C"/>
    <w:rsid w:val="00E26953"/>
    <w:rsid w:val="00E27694"/>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3DA9"/>
    <w:rsid w:val="00E44582"/>
    <w:rsid w:val="00E4726C"/>
    <w:rsid w:val="00E507ED"/>
    <w:rsid w:val="00E50F66"/>
    <w:rsid w:val="00E51F83"/>
    <w:rsid w:val="00E52814"/>
    <w:rsid w:val="00E5314D"/>
    <w:rsid w:val="00E53182"/>
    <w:rsid w:val="00E542BC"/>
    <w:rsid w:val="00E54D8D"/>
    <w:rsid w:val="00E54DA8"/>
    <w:rsid w:val="00E5541B"/>
    <w:rsid w:val="00E56CA7"/>
    <w:rsid w:val="00E56CFE"/>
    <w:rsid w:val="00E60CDE"/>
    <w:rsid w:val="00E616BF"/>
    <w:rsid w:val="00E62E6F"/>
    <w:rsid w:val="00E62E86"/>
    <w:rsid w:val="00E65AAE"/>
    <w:rsid w:val="00E67241"/>
    <w:rsid w:val="00E720B0"/>
    <w:rsid w:val="00E72324"/>
    <w:rsid w:val="00E72ABE"/>
    <w:rsid w:val="00E731A7"/>
    <w:rsid w:val="00E73465"/>
    <w:rsid w:val="00E75685"/>
    <w:rsid w:val="00E75C1B"/>
    <w:rsid w:val="00E76485"/>
    <w:rsid w:val="00E76BD1"/>
    <w:rsid w:val="00E76D15"/>
    <w:rsid w:val="00E77364"/>
    <w:rsid w:val="00E77645"/>
    <w:rsid w:val="00E80DE4"/>
    <w:rsid w:val="00E81C27"/>
    <w:rsid w:val="00E821D0"/>
    <w:rsid w:val="00E82702"/>
    <w:rsid w:val="00E8331E"/>
    <w:rsid w:val="00E8589B"/>
    <w:rsid w:val="00E874AB"/>
    <w:rsid w:val="00E8768C"/>
    <w:rsid w:val="00E87A50"/>
    <w:rsid w:val="00E9104E"/>
    <w:rsid w:val="00E91C9A"/>
    <w:rsid w:val="00E92F47"/>
    <w:rsid w:val="00E92F48"/>
    <w:rsid w:val="00E93A18"/>
    <w:rsid w:val="00E93A85"/>
    <w:rsid w:val="00E965F3"/>
    <w:rsid w:val="00EA117C"/>
    <w:rsid w:val="00EA1F72"/>
    <w:rsid w:val="00EA2536"/>
    <w:rsid w:val="00EA2C05"/>
    <w:rsid w:val="00EA3D7F"/>
    <w:rsid w:val="00EA42E3"/>
    <w:rsid w:val="00EA45E9"/>
    <w:rsid w:val="00EA4A15"/>
    <w:rsid w:val="00EA5B15"/>
    <w:rsid w:val="00EA6749"/>
    <w:rsid w:val="00EA70F0"/>
    <w:rsid w:val="00EB0A41"/>
    <w:rsid w:val="00EB0A95"/>
    <w:rsid w:val="00EB11F4"/>
    <w:rsid w:val="00EB1AF0"/>
    <w:rsid w:val="00EB21AD"/>
    <w:rsid w:val="00EB22F4"/>
    <w:rsid w:val="00EB4767"/>
    <w:rsid w:val="00EB5899"/>
    <w:rsid w:val="00EB5D90"/>
    <w:rsid w:val="00EB7762"/>
    <w:rsid w:val="00EB7A96"/>
    <w:rsid w:val="00EC03D3"/>
    <w:rsid w:val="00EC0ABB"/>
    <w:rsid w:val="00EC19C2"/>
    <w:rsid w:val="00EC336A"/>
    <w:rsid w:val="00EC3517"/>
    <w:rsid w:val="00EC46FD"/>
    <w:rsid w:val="00EC4A25"/>
    <w:rsid w:val="00EC5619"/>
    <w:rsid w:val="00EC6B55"/>
    <w:rsid w:val="00EC6FAB"/>
    <w:rsid w:val="00EC73C5"/>
    <w:rsid w:val="00EC7900"/>
    <w:rsid w:val="00ED0967"/>
    <w:rsid w:val="00ED34BC"/>
    <w:rsid w:val="00ED350C"/>
    <w:rsid w:val="00ED3A17"/>
    <w:rsid w:val="00ED3E37"/>
    <w:rsid w:val="00ED3EF5"/>
    <w:rsid w:val="00ED4BDF"/>
    <w:rsid w:val="00ED7F91"/>
    <w:rsid w:val="00EE0914"/>
    <w:rsid w:val="00EE2343"/>
    <w:rsid w:val="00EE5AA7"/>
    <w:rsid w:val="00EE6E8B"/>
    <w:rsid w:val="00EE7366"/>
    <w:rsid w:val="00EE73D0"/>
    <w:rsid w:val="00EF086F"/>
    <w:rsid w:val="00EF0C9A"/>
    <w:rsid w:val="00EF23F0"/>
    <w:rsid w:val="00EF3AC0"/>
    <w:rsid w:val="00EF43A6"/>
    <w:rsid w:val="00EF46B5"/>
    <w:rsid w:val="00EF4D0A"/>
    <w:rsid w:val="00EF7F60"/>
    <w:rsid w:val="00F015A4"/>
    <w:rsid w:val="00F01A41"/>
    <w:rsid w:val="00F02353"/>
    <w:rsid w:val="00F025A2"/>
    <w:rsid w:val="00F04712"/>
    <w:rsid w:val="00F061DC"/>
    <w:rsid w:val="00F0660D"/>
    <w:rsid w:val="00F06786"/>
    <w:rsid w:val="00F10F78"/>
    <w:rsid w:val="00F11630"/>
    <w:rsid w:val="00F11655"/>
    <w:rsid w:val="00F1254A"/>
    <w:rsid w:val="00F139D9"/>
    <w:rsid w:val="00F16143"/>
    <w:rsid w:val="00F1678D"/>
    <w:rsid w:val="00F17381"/>
    <w:rsid w:val="00F205DD"/>
    <w:rsid w:val="00F21311"/>
    <w:rsid w:val="00F2297D"/>
    <w:rsid w:val="00F22EC7"/>
    <w:rsid w:val="00F235B4"/>
    <w:rsid w:val="00F24018"/>
    <w:rsid w:val="00F245FE"/>
    <w:rsid w:val="00F260D2"/>
    <w:rsid w:val="00F2693A"/>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531C"/>
    <w:rsid w:val="00F462C7"/>
    <w:rsid w:val="00F50255"/>
    <w:rsid w:val="00F51FB6"/>
    <w:rsid w:val="00F5419E"/>
    <w:rsid w:val="00F55B35"/>
    <w:rsid w:val="00F56411"/>
    <w:rsid w:val="00F571A4"/>
    <w:rsid w:val="00F614AC"/>
    <w:rsid w:val="00F62AEB"/>
    <w:rsid w:val="00F63B86"/>
    <w:rsid w:val="00F653B8"/>
    <w:rsid w:val="00F655F3"/>
    <w:rsid w:val="00F66D77"/>
    <w:rsid w:val="00F70647"/>
    <w:rsid w:val="00F7204E"/>
    <w:rsid w:val="00F72667"/>
    <w:rsid w:val="00F73852"/>
    <w:rsid w:val="00F74FD5"/>
    <w:rsid w:val="00F813B7"/>
    <w:rsid w:val="00F8249C"/>
    <w:rsid w:val="00F845FA"/>
    <w:rsid w:val="00F84622"/>
    <w:rsid w:val="00F84654"/>
    <w:rsid w:val="00F84FFC"/>
    <w:rsid w:val="00F8553A"/>
    <w:rsid w:val="00F85920"/>
    <w:rsid w:val="00F86483"/>
    <w:rsid w:val="00F8688A"/>
    <w:rsid w:val="00F87611"/>
    <w:rsid w:val="00F90C05"/>
    <w:rsid w:val="00F9181C"/>
    <w:rsid w:val="00F9377C"/>
    <w:rsid w:val="00F93D33"/>
    <w:rsid w:val="00F93E02"/>
    <w:rsid w:val="00F94B19"/>
    <w:rsid w:val="00F95315"/>
    <w:rsid w:val="00F95EDB"/>
    <w:rsid w:val="00F96804"/>
    <w:rsid w:val="00F97679"/>
    <w:rsid w:val="00F97D2F"/>
    <w:rsid w:val="00FA0DFF"/>
    <w:rsid w:val="00FA1266"/>
    <w:rsid w:val="00FA34DD"/>
    <w:rsid w:val="00FA3571"/>
    <w:rsid w:val="00FA42A9"/>
    <w:rsid w:val="00FA5A3B"/>
    <w:rsid w:val="00FA7625"/>
    <w:rsid w:val="00FA77A1"/>
    <w:rsid w:val="00FB03C5"/>
    <w:rsid w:val="00FB106E"/>
    <w:rsid w:val="00FB14B0"/>
    <w:rsid w:val="00FB4CD7"/>
    <w:rsid w:val="00FC0A0F"/>
    <w:rsid w:val="00FC0EF5"/>
    <w:rsid w:val="00FC1192"/>
    <w:rsid w:val="00FC67A9"/>
    <w:rsid w:val="00FD1FA6"/>
    <w:rsid w:val="00FD297E"/>
    <w:rsid w:val="00FD4813"/>
    <w:rsid w:val="00FD48F9"/>
    <w:rsid w:val="00FD53F3"/>
    <w:rsid w:val="00FD6222"/>
    <w:rsid w:val="00FD6240"/>
    <w:rsid w:val="00FD6A23"/>
    <w:rsid w:val="00FD6FA7"/>
    <w:rsid w:val="00FD7136"/>
    <w:rsid w:val="00FE2D04"/>
    <w:rsid w:val="00FE31E7"/>
    <w:rsid w:val="00FE34CC"/>
    <w:rsid w:val="00FE3DE0"/>
    <w:rsid w:val="00FE4CDB"/>
    <w:rsid w:val="00FE55C8"/>
    <w:rsid w:val="00FE5A30"/>
    <w:rsid w:val="00FE63B0"/>
    <w:rsid w:val="00FF01FA"/>
    <w:rsid w:val="00FF05BF"/>
    <w:rsid w:val="00FF1EBA"/>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AD34F2"/>
    <w:rPr>
      <w:lang w:eastAsia="en-US"/>
    </w:rPr>
  </w:style>
  <w:style w:type="paragraph" w:customStyle="1" w:styleId="CRCoverPage">
    <w:name w:val="CR Cover Page"/>
    <w:link w:val="CRCoverPageChar"/>
    <w:qFormat/>
    <w:rsid w:val="009B2133"/>
    <w:pPr>
      <w:spacing w:after="120"/>
    </w:pPr>
    <w:rPr>
      <w:rFonts w:ascii="Arial" w:eastAsiaTheme="minorEastAsia" w:hAnsi="Arial"/>
      <w:lang w:eastAsia="en-US"/>
    </w:rPr>
  </w:style>
  <w:style w:type="character" w:customStyle="1" w:styleId="CRCoverPageChar">
    <w:name w:val="CR Cover Page Char"/>
    <w:link w:val="CRCoverPage"/>
    <w:qFormat/>
    <w:rsid w:val="009B2133"/>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286665860">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3</Pages>
  <Words>1915</Words>
  <Characters>10919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12809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2022-08-10T19:19:00Z</dcterms:modified>
  <cp:category/>
</cp:coreProperties>
</file>